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4753"/>
      </w:pPr>
      <w:r>
        <w:rPr/>
        <w:t>Đại sứ quán Việt Nam tại Trung Quốc</w:t>
      </w:r>
    </w:p>
    <w:p>
      <w:pPr>
        <w:spacing w:before="123"/>
        <w:ind w:left="457" w:right="4753" w:firstLine="0"/>
        <w:jc w:val="center"/>
        <w:rPr>
          <w:b/>
          <w:sz w:val="28"/>
        </w:rPr>
      </w:pPr>
      <w:r>
        <w:rPr>
          <w:b/>
          <w:sz w:val="28"/>
        </w:rPr>
        <w:t>---------</w:t>
      </w:r>
    </w:p>
    <w:p>
      <w:pPr>
        <w:pStyle w:val="BodyText"/>
        <w:ind w:left="0" w:firstLine="0"/>
        <w:jc w:val="left"/>
        <w:rPr>
          <w:b/>
          <w:sz w:val="30"/>
        </w:rPr>
      </w:pPr>
    </w:p>
    <w:p>
      <w:pPr>
        <w:spacing w:before="216"/>
        <w:ind w:left="457" w:right="688" w:firstLine="0"/>
        <w:jc w:val="center"/>
        <w:rPr>
          <w:b/>
          <w:sz w:val="28"/>
        </w:rPr>
      </w:pPr>
      <w:r>
        <w:rPr>
          <w:b/>
          <w:sz w:val="28"/>
        </w:rPr>
        <w:t>BẢN TIN KINH TẾ THÁNG 9/2024</w:t>
      </w:r>
    </w:p>
    <w:p>
      <w:pPr>
        <w:pStyle w:val="BodyText"/>
        <w:ind w:left="0" w:firstLine="0"/>
        <w:jc w:val="left"/>
        <w:rPr>
          <w:b/>
          <w:sz w:val="30"/>
        </w:rPr>
      </w:pPr>
    </w:p>
    <w:p>
      <w:pPr>
        <w:pStyle w:val="ListParagraph"/>
        <w:numPr>
          <w:ilvl w:val="0"/>
          <w:numId w:val="1"/>
        </w:numPr>
        <w:tabs>
          <w:tab w:pos="935" w:val="left" w:leader="none"/>
        </w:tabs>
        <w:spacing w:line="240" w:lineRule="auto" w:before="216" w:after="0"/>
        <w:ind w:left="934" w:right="0" w:hanging="250"/>
        <w:jc w:val="left"/>
        <w:rPr>
          <w:b/>
          <w:sz w:val="28"/>
        </w:rPr>
      </w:pPr>
      <w:r>
        <w:rPr>
          <w:b/>
          <w:sz w:val="28"/>
        </w:rPr>
        <w:t>Về tình hình kinh tế Trung</w:t>
      </w:r>
      <w:r>
        <w:rPr>
          <w:b/>
          <w:spacing w:val="-11"/>
          <w:sz w:val="28"/>
        </w:rPr>
        <w:t> </w:t>
      </w:r>
      <w:r>
        <w:rPr>
          <w:b/>
          <w:sz w:val="28"/>
        </w:rPr>
        <w:t>Quốc</w:t>
      </w:r>
    </w:p>
    <w:p>
      <w:pPr>
        <w:pStyle w:val="ListParagraph"/>
        <w:numPr>
          <w:ilvl w:val="0"/>
          <w:numId w:val="2"/>
        </w:numPr>
        <w:tabs>
          <w:tab w:pos="988" w:val="left" w:leader="none"/>
        </w:tabs>
        <w:spacing w:line="242" w:lineRule="auto" w:before="120" w:after="0"/>
        <w:ind w:left="118" w:right="344" w:firstLine="566"/>
        <w:jc w:val="left"/>
        <w:rPr>
          <w:b/>
          <w:sz w:val="28"/>
        </w:rPr>
      </w:pPr>
      <w:r>
        <w:rPr>
          <w:b/>
          <w:sz w:val="28"/>
        </w:rPr>
        <w:t>Về các chỉ số quan trọng của kinh tế Trung Quốc công bố trong Quý III/2024:</w:t>
      </w:r>
    </w:p>
    <w:p>
      <w:pPr>
        <w:pStyle w:val="ListParagraph"/>
        <w:numPr>
          <w:ilvl w:val="0"/>
          <w:numId w:val="3"/>
        </w:numPr>
        <w:tabs>
          <w:tab w:pos="1024" w:val="left" w:leader="none"/>
        </w:tabs>
        <w:spacing w:line="240" w:lineRule="auto" w:before="115" w:after="0"/>
        <w:ind w:left="118" w:right="116" w:firstLine="566"/>
        <w:jc w:val="left"/>
        <w:rPr>
          <w:sz w:val="28"/>
        </w:rPr>
      </w:pPr>
      <w:r>
        <w:rPr>
          <w:b/>
          <w:sz w:val="28"/>
        </w:rPr>
        <w:t>Chỉ số giá tiêu dùng: </w:t>
      </w:r>
      <w:r>
        <w:rPr>
          <w:sz w:val="28"/>
        </w:rPr>
        <w:t>Theo số liệu do Cục Thống kê Quốc gia </w:t>
      </w:r>
      <w:r>
        <w:rPr>
          <w:spacing w:val="-3"/>
          <w:sz w:val="28"/>
        </w:rPr>
        <w:t>Trung Quốc </w:t>
      </w:r>
      <w:r>
        <w:rPr>
          <w:sz w:val="28"/>
        </w:rPr>
        <w:t>(NBS) công bố ngày 09/9, trong tháng 8/2024, chỉ số giá tiêu dùng (CPI) tăng 0,6% so với cùng kỳ năm 2023</w:t>
      </w:r>
      <w:hyperlink w:history="true" w:anchor="_bookmark0">
        <w:r>
          <w:rPr>
            <w:sz w:val="28"/>
            <w:vertAlign w:val="superscript"/>
          </w:rPr>
          <w:t>1</w:t>
        </w:r>
        <w:r>
          <w:rPr>
            <w:sz w:val="28"/>
            <w:vertAlign w:val="baseline"/>
          </w:rPr>
          <w:t> </w:t>
        </w:r>
      </w:hyperlink>
      <w:r>
        <w:rPr>
          <w:sz w:val="28"/>
          <w:vertAlign w:val="baseline"/>
        </w:rPr>
        <w:t>và tăng 0,4% so với tháng 7/2024; trong khi đó  chỉ số   giá sản xuất (PPI) đã giảm 1,8% so với cùng kỳ năm 2023 và giảm 0,7% so với  tháng 7/2024. Đánh giá về hai chỉ số trên, chuyên gia thống kê của NBS Đồng Lệ Quyên giải thích, chỉ số CPI tăng nhẹ là do sự gia tăng theo mùa của giá tiêu dùng bởi các hiện tượng thời tiết cực đoan như nắng nóng, mưa nhiều, chỉ số PPI giảm  chủ yếu là do nhu cầu thị trường trong nước không đủ và giá hàng hóa nhập khẩu giảm.</w:t>
      </w:r>
    </w:p>
    <w:p>
      <w:pPr>
        <w:pStyle w:val="ListParagraph"/>
        <w:numPr>
          <w:ilvl w:val="0"/>
          <w:numId w:val="3"/>
        </w:numPr>
        <w:tabs>
          <w:tab w:pos="1115" w:val="left" w:leader="none"/>
        </w:tabs>
        <w:spacing w:line="240" w:lineRule="auto" w:before="120" w:after="0"/>
        <w:ind w:left="118" w:right="346" w:firstLine="566"/>
        <w:jc w:val="both"/>
        <w:rPr>
          <w:sz w:val="28"/>
        </w:rPr>
      </w:pPr>
      <w:r>
        <w:rPr>
          <w:b/>
          <w:sz w:val="28"/>
        </w:rPr>
        <w:t>Thương mại quốc tế: </w:t>
      </w:r>
      <w:r>
        <w:rPr>
          <w:sz w:val="28"/>
        </w:rPr>
        <w:t>Theo thông tin do Tổng cục Hải quan Trung Quốc công bố ngày 09/9, trong 8 tháng đầu năm 2024, tổng kim ngạch xuất nhập khẩu hàng hóa của Trung Quốc đạt 28.580 tỷ NDT, tăng 6% so với cùng kỳ năm 2023, trong đó xuất khẩu đạt 16.450 tỷ NDT, tăng 6,9%, nhập khẩu đạt 12.130 tỷ NDT, tăng</w:t>
      </w:r>
      <w:r>
        <w:rPr>
          <w:spacing w:val="-3"/>
          <w:sz w:val="28"/>
        </w:rPr>
        <w:t> </w:t>
      </w:r>
      <w:r>
        <w:rPr>
          <w:sz w:val="28"/>
        </w:rPr>
        <w:t>4,7%.</w:t>
      </w:r>
    </w:p>
    <w:p>
      <w:pPr>
        <w:pStyle w:val="BodyText"/>
        <w:spacing w:before="120"/>
        <w:ind w:right="346"/>
      </w:pPr>
      <w:r>
        <w:rPr/>
        <w:t>Xét theo đối tác, ASEAN tiếp tục là đối tác thương mại lớn nhất của Trung Quốc trên phạm vi toàn cầu với kim ngạch xuất nhập khẩu đạt 4.500 tỷ NDT, tăng 10%, chiếm tỷ trọng 15,7% tổng kim ngạch xuất nhập khẩu của Trung Quốc, trong đó Trung Quốc xuất sang ASEAN 2.690 tỷ NDT, tăng 13,1%, nhập từ ASEAN 1.810 tỷ NDT, tăng 5,7%. EU là đối tác thương mại lớn thứ hai của Trung Quốc với kim ngạch xuất nhập khẩu đạt 3.720 tỷ NDT, tăng 1,1%, chiếm tỷ trọng 13%. Hoa Kỳ là đối tác thương mại lớn thứ ba của Trung Quốc với kim ngạch xuất nhập khẩu đạt 3.150 tỷ NDT, tăng 4,4%, chiếm tỷ trọng 11%. Hàn Quốc là đối tác thương mại lớn thứ tư của Trung Quốc với kim ngạch xuất nhập khẩu đạt 1.510 tỷ NDT, tăng 8%, chiếm tỷ trọng</w:t>
      </w:r>
      <w:r>
        <w:rPr>
          <w:spacing w:val="-3"/>
        </w:rPr>
        <w:t> </w:t>
      </w:r>
      <w:r>
        <w:rPr/>
        <w:t>5,3%.</w:t>
      </w:r>
    </w:p>
    <w:p>
      <w:pPr>
        <w:pStyle w:val="BodyText"/>
        <w:spacing w:before="120"/>
        <w:ind w:right="347"/>
      </w:pPr>
      <w:r>
        <w:rPr/>
        <w:t>Cũng trong 8 tháng đầu năm 2024, kim ngạch xuất nhập khẩu của doanh nghiệp tư nhân đạt 15.740 tỷ NDT, tăng 10,5%, chiếm tỷ trọng 55,1% tổng kim ngạch xuất nhập khẩu của Trung Quốc. Kim ngạch xuất khẩu các sản phẩm cơ điện của Trung Quốc đạt 9.729 tỷ NDT, tăng 8,8%, chiếm tỷ trọng 59,1% kim ngạch xuất khẩu của Trung Quốc.</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7"/>
        <w:ind w:left="0" w:firstLine="0"/>
        <w:jc w:val="left"/>
        <w:rPr>
          <w:sz w:val="14"/>
        </w:rPr>
      </w:pPr>
      <w:r>
        <w:rPr/>
        <w:pict>
          <v:shape style="position:absolute;margin-left:70.944pt;margin-top:10.781754pt;width:144.050pt;height:.1pt;mso-position-horizontal-relative:page;mso-position-vertical-relative:paragraph;z-index:-251658240;mso-wrap-distance-left:0;mso-wrap-distance-right:0" coordorigin="1419,216" coordsize="2881,0" path="m1419,216l4299,216e" filled="false" stroked="true" strokeweight=".71997pt" strokecolor="#000000">
            <v:path arrowok="t"/>
            <v:stroke dashstyle="solid"/>
            <w10:wrap type="topAndBottom"/>
          </v:shape>
        </w:pict>
      </w:r>
    </w:p>
    <w:p>
      <w:pPr>
        <w:spacing w:before="69"/>
        <w:ind w:left="118" w:right="0" w:firstLine="0"/>
        <w:jc w:val="left"/>
        <w:rPr>
          <w:sz w:val="20"/>
        </w:rPr>
      </w:pPr>
      <w:bookmarkStart w:name="_bookmark0" w:id="1"/>
      <w:bookmarkEnd w:id="1"/>
      <w:r>
        <w:rPr/>
      </w:r>
      <w:r>
        <w:rPr>
          <w:sz w:val="20"/>
          <w:vertAlign w:val="superscript"/>
        </w:rPr>
        <w:t>1</w:t>
      </w:r>
      <w:r>
        <w:rPr>
          <w:sz w:val="20"/>
          <w:vertAlign w:val="baseline"/>
        </w:rPr>
        <w:t> Trước đó, trong tháng 6/2024 và tháng 7/2024, CPI đã tăng lần lượt 0,2% và 0,5% so với cùng kỳ năm 2023.</w:t>
      </w:r>
    </w:p>
    <w:p>
      <w:pPr>
        <w:spacing w:after="0"/>
        <w:jc w:val="left"/>
        <w:rPr>
          <w:sz w:val="20"/>
        </w:rPr>
        <w:sectPr>
          <w:footerReference w:type="default" r:id="rId5"/>
          <w:type w:val="continuous"/>
          <w:pgSz w:w="11910" w:h="16840"/>
          <w:pgMar w:footer="944" w:top="1180" w:bottom="1140" w:left="1300" w:right="780"/>
          <w:pgNumType w:start="1"/>
        </w:sectPr>
      </w:pPr>
    </w:p>
    <w:p>
      <w:pPr>
        <w:pStyle w:val="ListParagraph"/>
        <w:numPr>
          <w:ilvl w:val="0"/>
          <w:numId w:val="3"/>
        </w:numPr>
        <w:tabs>
          <w:tab w:pos="1211" w:val="left" w:leader="none"/>
        </w:tabs>
        <w:spacing w:line="240" w:lineRule="auto" w:before="59" w:after="0"/>
        <w:ind w:left="118" w:right="346" w:firstLine="566"/>
        <w:jc w:val="both"/>
        <w:rPr>
          <w:sz w:val="28"/>
        </w:rPr>
      </w:pPr>
      <w:r>
        <w:rPr>
          <w:b/>
          <w:sz w:val="28"/>
        </w:rPr>
        <w:t>Các chỉ số công nghiệp, tiêu dùng, đầu tư: </w:t>
      </w:r>
      <w:r>
        <w:rPr>
          <w:sz w:val="28"/>
        </w:rPr>
        <w:t>Ngày 18/9, NBS tiếp tục công bố các chỉ số quan trọng khác của kinh tế Trung Quốc. Cụ thể, trong tháng 8/2024, giá trị gia tăng ngành công nghiệp của Trung Quốc đạt 4,5%, thấp hơn mức 5,1% của tháng 7/2024 - đây là tháng thứ 4 suy giảm tăng trưởng của chỉ số này và là đợt suy giảm có thời gian kéo dài nhất kể từ tháng 9/2021. Tổng mức bán lẻ tiêu dùng toàn xã hội (chỉ số dùng để đo lường thị trường tiêu dùng) chỉ tăng 2,1%, thấp hơn con số 2,7% của tháng 7/2024 - điều này cho thấy nhu cầu thị trường trong nước của Trung Quốc tiếp tục suy yếu. Về đầu tư, đầu tư tư nhân trong 8 tháng đầu năm 2024 đã giảm 0,2% so với cùng kỳ năm 2023, trong khi tỷ trọng đầu tư tài sản cố định giảm xuống còn 50,98%, giảm so với mức 51,16% trong tháng 7/2024. Về bất động sản, đầu tư bất động sản tại Trung Quốc trong 8 tháng đầu năm 2024 giảm 10,2% so với cùng kỳ năm 2023, giá bán nhà mới của Trung Quốc trong tháng 8/2024 đã 5,3% so với cùng kỳ năm 2023 - đây là mức thấp nhất trong 9 năm trở lại</w:t>
      </w:r>
      <w:r>
        <w:rPr>
          <w:spacing w:val="-10"/>
          <w:sz w:val="28"/>
        </w:rPr>
        <w:t> </w:t>
      </w:r>
      <w:r>
        <w:rPr>
          <w:sz w:val="28"/>
        </w:rPr>
        <w:t>đây.</w:t>
      </w:r>
    </w:p>
    <w:p>
      <w:pPr>
        <w:pStyle w:val="BodyText"/>
        <w:spacing w:before="123"/>
        <w:ind w:right="346"/>
      </w:pPr>
      <w:r>
        <w:rPr/>
        <w:t>Người Phát ngôn NBS Lưu Ái Hoa cho biết, những bất lợi từ môi trường bên ngoài hiện nay đang gia tăng, nhu cầu trong nước của Trung Quốc tiếp tục bị thiếu hụt, sự phục hồi bền vững của kinh tế Trung Quốc vẫn đối mặt với nhiều khó khăn, thách thức.</w:t>
      </w:r>
    </w:p>
    <w:p>
      <w:pPr>
        <w:pStyle w:val="ListParagraph"/>
        <w:numPr>
          <w:ilvl w:val="0"/>
          <w:numId w:val="3"/>
        </w:numPr>
        <w:tabs>
          <w:tab w:pos="1170" w:val="left" w:leader="none"/>
        </w:tabs>
        <w:spacing w:line="240" w:lineRule="auto" w:before="119" w:after="0"/>
        <w:ind w:left="118" w:right="252" w:firstLine="566"/>
        <w:jc w:val="left"/>
        <w:rPr>
          <w:sz w:val="28"/>
        </w:rPr>
      </w:pPr>
      <w:r>
        <w:rPr>
          <w:b/>
          <w:sz w:val="28"/>
        </w:rPr>
        <w:t>Tỷ lệ thất nghiệp: </w:t>
      </w:r>
      <w:r>
        <w:rPr>
          <w:sz w:val="28"/>
        </w:rPr>
        <w:t>Số liệu do NBS công bố ngày 20/9 cho thấy, tỷ lệ thất nghiệp của thanh niên Trung Quốc (không bao gồm học sinh/sinh viên đang đi học) đã tăng lên mức 18,8% trong tháng 8/2024, vượt mức 17,1% trong tháng 7/2024, đây là mức cao nhất trong từ đầu năm 2024 đến nay. Người Phát ngôn NBS Lưu   Ái Hoa cho biết, tỷ lệ thất nghiệp gia tăng chủ yếu do nhiều yếu tố, sinh viên tốt nghiệp bắt đầu đi tìm kiếm việc làm, trong khi năm 2024 Trung Quốc có 11,79  triệu sinh viên tốt nghiệp – mức kỷ lục cao nhất từ trước đến</w:t>
      </w:r>
      <w:r>
        <w:rPr>
          <w:spacing w:val="-12"/>
          <w:sz w:val="28"/>
        </w:rPr>
        <w:t> </w:t>
      </w:r>
      <w:r>
        <w:rPr>
          <w:sz w:val="28"/>
        </w:rPr>
        <w:t>nay.</w:t>
      </w:r>
    </w:p>
    <w:p>
      <w:pPr>
        <w:pStyle w:val="ListParagraph"/>
        <w:numPr>
          <w:ilvl w:val="0"/>
          <w:numId w:val="2"/>
        </w:numPr>
        <w:tabs>
          <w:tab w:pos="981" w:val="left" w:leader="none"/>
        </w:tabs>
        <w:spacing w:line="240" w:lineRule="auto" w:before="120" w:after="0"/>
        <w:ind w:left="118" w:right="347" w:firstLine="566"/>
        <w:jc w:val="both"/>
        <w:rPr>
          <w:sz w:val="28"/>
        </w:rPr>
      </w:pPr>
      <w:r>
        <w:rPr>
          <w:b/>
          <w:sz w:val="28"/>
        </w:rPr>
        <w:t>Quy mô dự trữ ngoại hối của Trung Quốc duy trì ở mức trên 3.200 tỷ USD: </w:t>
      </w:r>
      <w:r>
        <w:rPr>
          <w:sz w:val="28"/>
        </w:rPr>
        <w:t>Theo số liệu do Cục Quản lý ngoại hối Trung Quốc công bố, tính đến cuối tháng 8/2024, quy mô </w:t>
      </w:r>
      <w:r>
        <w:rPr>
          <w:spacing w:val="2"/>
          <w:sz w:val="28"/>
        </w:rPr>
        <w:t>dự </w:t>
      </w:r>
      <w:r>
        <w:rPr>
          <w:sz w:val="28"/>
        </w:rPr>
        <w:t>trữ ngoại hối của Trung Quốc đạt 3.288,2 tỷ USD, tăng thêm 31,8 tỷ USD so tháng 7/2024, biên độ tăng đạt</w:t>
      </w:r>
      <w:r>
        <w:rPr>
          <w:spacing w:val="-14"/>
          <w:sz w:val="28"/>
        </w:rPr>
        <w:t> </w:t>
      </w:r>
      <w:r>
        <w:rPr>
          <w:sz w:val="28"/>
        </w:rPr>
        <w:t>0,98.</w:t>
      </w:r>
    </w:p>
    <w:p>
      <w:pPr>
        <w:pStyle w:val="BodyText"/>
        <w:spacing w:before="121"/>
        <w:ind w:right="347"/>
      </w:pPr>
      <w:r>
        <w:rPr/>
        <w:t>Đại diện Cục Quản lý ngoại hối quốc gia Trung Quốc cho biết, dưới tác động của một số nhân tố như khấu hao chênh lệch từ tỷ giá hối đoái, biến động giá cả tài sản.v.v, quy mô dự trữ ngoại hối của Trung Quốc tính đến tháng 8/2024 đã ghi nhận đà tăng trưởng. Kinh tế Trung Quốc vận hành trong quỹ đạo ổn định cũng như xu thế phát triển tốt hơn về dài hạn tiếp tục duy trì vững chắc đã tạo ra bảo đảm vững chắc cho xu hướng gia tăng dự trữ ngoại</w:t>
      </w:r>
      <w:r>
        <w:rPr>
          <w:spacing w:val="-8"/>
        </w:rPr>
        <w:t> </w:t>
      </w:r>
      <w:r>
        <w:rPr/>
        <w:t>hối.</w:t>
      </w:r>
    </w:p>
    <w:p>
      <w:pPr>
        <w:pStyle w:val="ListParagraph"/>
        <w:numPr>
          <w:ilvl w:val="0"/>
          <w:numId w:val="2"/>
        </w:numPr>
        <w:tabs>
          <w:tab w:pos="971" w:val="left" w:leader="none"/>
        </w:tabs>
        <w:spacing w:line="240" w:lineRule="auto" w:before="120" w:after="0"/>
        <w:ind w:left="118" w:right="347" w:firstLine="566"/>
        <w:jc w:val="both"/>
        <w:rPr>
          <w:sz w:val="28"/>
        </w:rPr>
      </w:pPr>
      <w:r>
        <w:rPr>
          <w:b/>
          <w:sz w:val="28"/>
        </w:rPr>
        <w:t>Số người cao tuổi từ 60 tuổi trở lên của Trung Quốc tính đến năm cuối 2023 chiếm trên 21% tổng dân số: </w:t>
      </w:r>
      <w:r>
        <w:rPr>
          <w:sz w:val="28"/>
        </w:rPr>
        <w:t>Ngày 09/9 Bộ Dân chính Trung Quốc đã công bố “Báo cáo thống kê phát triển sự nghiệp dân chính năm 2023”. Theo đó, tính đến cuối năm 2023, số người cao tuổi từ 60 tuổi trở lên của Trung Quốc đạt 297 triệu người, chiếm 21,1% tổng dân số, trong đó số người từ 65 tuổi trở lên đạt 217 triệu người, chiếm 15,4% tổng dân</w:t>
      </w:r>
      <w:r>
        <w:rPr>
          <w:spacing w:val="-2"/>
          <w:sz w:val="28"/>
        </w:rPr>
        <w:t> </w:t>
      </w:r>
      <w:r>
        <w:rPr>
          <w:sz w:val="28"/>
        </w:rPr>
        <w:t>số.</w:t>
      </w:r>
    </w:p>
    <w:p>
      <w:pPr>
        <w:spacing w:after="0" w:line="240" w:lineRule="auto"/>
        <w:jc w:val="both"/>
        <w:rPr>
          <w:sz w:val="28"/>
        </w:rPr>
        <w:sectPr>
          <w:pgSz w:w="11910" w:h="16840"/>
          <w:pgMar w:header="0" w:footer="944" w:top="1060" w:bottom="1200" w:left="1300" w:right="780"/>
        </w:sectPr>
      </w:pPr>
    </w:p>
    <w:p>
      <w:pPr>
        <w:pStyle w:val="BodyText"/>
        <w:spacing w:before="59"/>
        <w:ind w:right="346"/>
      </w:pPr>
      <w:r>
        <w:rPr/>
        <w:t>Tính đến cuối năm 2023, Trung Quốc có tổng cộng hơn 43 triệu người cao tuổi đang được hưởng trợ cấp, trong đó có khoảng 35 triệu người cao tuổi đang được hưởng trợ cấp, 985.000 người cao tuổi được hưởng trợ cấp điều dưỡng, hơn 6 triệu người được hưởng trợ cấp dịch vụ chăm sóc người cao tuổi và 667.000 người cao tuổi được hưởng trợ cấp toàn diện. Tổng cộng 42,17 tỷ nhân dân tệ (khoảng 5,922 tỷ USD) được chi cho các quỹ phúc lợi người cao tuổi trên toàn Trung Quốc và 22,32 tỷ nhân dân tệ được chi cho các dịch vụ chăm sóc người cao tuổi.</w:t>
      </w:r>
    </w:p>
    <w:p>
      <w:pPr>
        <w:pStyle w:val="BodyText"/>
        <w:spacing w:before="123"/>
        <w:ind w:right="345"/>
      </w:pPr>
      <w:r>
        <w:rPr/>
        <w:t>Theo truyền thông Trung Quốc, quy mô hiện tại của “nền kinh tế tóc bạc” của Trung Quốc là khoảng 7.000 tỷ nhân dân tệ, chiếm khoảng 6% GDP của cả nước. Đến năm 2035, quy mô của nền kinh tế này sẽ đạt 30.000 tỷ nhân dân tệ, chiếm khoảng 10% GDP của toàn Trung Quốc.</w:t>
      </w:r>
    </w:p>
    <w:p>
      <w:pPr>
        <w:pStyle w:val="ListParagraph"/>
        <w:numPr>
          <w:ilvl w:val="0"/>
          <w:numId w:val="2"/>
        </w:numPr>
        <w:tabs>
          <w:tab w:pos="971" w:val="left" w:leader="none"/>
        </w:tabs>
        <w:spacing w:line="240" w:lineRule="auto" w:before="119" w:after="0"/>
        <w:ind w:left="118" w:right="346" w:firstLine="566"/>
        <w:jc w:val="both"/>
        <w:rPr>
          <w:sz w:val="28"/>
        </w:rPr>
      </w:pPr>
      <w:r>
        <w:rPr>
          <w:b/>
          <w:sz w:val="28"/>
        </w:rPr>
        <w:t>Nợ của chính quyền địa phương trở thành lực cản tiềm ẩn đối với tăng trưởng kinh tế Trung Quốc: </w:t>
      </w:r>
      <w:r>
        <w:rPr>
          <w:sz w:val="28"/>
        </w:rPr>
        <w:t>Theo đánh giá của tổ chức Morgan Stanley, tỷ lệ nợ trên</w:t>
      </w:r>
      <w:r>
        <w:rPr>
          <w:spacing w:val="20"/>
          <w:sz w:val="28"/>
        </w:rPr>
        <w:t> </w:t>
      </w:r>
      <w:r>
        <w:rPr>
          <w:sz w:val="28"/>
        </w:rPr>
        <w:t>GDP</w:t>
      </w:r>
      <w:r>
        <w:rPr>
          <w:spacing w:val="19"/>
          <w:sz w:val="28"/>
        </w:rPr>
        <w:t> </w:t>
      </w:r>
      <w:r>
        <w:rPr>
          <w:sz w:val="28"/>
        </w:rPr>
        <w:t>của</w:t>
      </w:r>
      <w:r>
        <w:rPr>
          <w:spacing w:val="21"/>
          <w:sz w:val="28"/>
        </w:rPr>
        <w:t> </w:t>
      </w:r>
      <w:r>
        <w:rPr>
          <w:sz w:val="28"/>
        </w:rPr>
        <w:t>Trung</w:t>
      </w:r>
      <w:r>
        <w:rPr>
          <w:spacing w:val="20"/>
          <w:sz w:val="28"/>
        </w:rPr>
        <w:t> </w:t>
      </w:r>
      <w:r>
        <w:rPr>
          <w:sz w:val="28"/>
        </w:rPr>
        <w:t>Quốc</w:t>
      </w:r>
      <w:r>
        <w:rPr>
          <w:spacing w:val="20"/>
          <w:sz w:val="28"/>
        </w:rPr>
        <w:t> </w:t>
      </w:r>
      <w:r>
        <w:rPr>
          <w:sz w:val="28"/>
        </w:rPr>
        <w:t>so</w:t>
      </w:r>
      <w:r>
        <w:rPr>
          <w:spacing w:val="21"/>
          <w:sz w:val="28"/>
        </w:rPr>
        <w:t> </w:t>
      </w:r>
      <w:r>
        <w:rPr>
          <w:sz w:val="28"/>
        </w:rPr>
        <w:t>với</w:t>
      </w:r>
      <w:r>
        <w:rPr>
          <w:spacing w:val="23"/>
          <w:sz w:val="28"/>
        </w:rPr>
        <w:t> </w:t>
      </w:r>
      <w:r>
        <w:rPr>
          <w:sz w:val="28"/>
        </w:rPr>
        <w:t>thời</w:t>
      </w:r>
      <w:r>
        <w:rPr>
          <w:spacing w:val="20"/>
          <w:sz w:val="28"/>
        </w:rPr>
        <w:t> </w:t>
      </w:r>
      <w:r>
        <w:rPr>
          <w:sz w:val="28"/>
        </w:rPr>
        <w:t>điểm</w:t>
      </w:r>
      <w:r>
        <w:rPr>
          <w:spacing w:val="23"/>
          <w:sz w:val="28"/>
        </w:rPr>
        <w:t> </w:t>
      </w:r>
      <w:r>
        <w:rPr>
          <w:sz w:val="28"/>
        </w:rPr>
        <w:t>năm</w:t>
      </w:r>
      <w:r>
        <w:rPr>
          <w:spacing w:val="20"/>
          <w:sz w:val="28"/>
        </w:rPr>
        <w:t> </w:t>
      </w:r>
      <w:r>
        <w:rPr>
          <w:sz w:val="28"/>
        </w:rPr>
        <w:t>2021</w:t>
      </w:r>
      <w:r>
        <w:rPr>
          <w:spacing w:val="24"/>
          <w:sz w:val="28"/>
        </w:rPr>
        <w:t> </w:t>
      </w:r>
      <w:r>
        <w:rPr>
          <w:sz w:val="28"/>
        </w:rPr>
        <w:t>đã</w:t>
      </w:r>
      <w:r>
        <w:rPr>
          <w:spacing w:val="21"/>
          <w:sz w:val="28"/>
        </w:rPr>
        <w:t> </w:t>
      </w:r>
      <w:r>
        <w:rPr>
          <w:sz w:val="28"/>
        </w:rPr>
        <w:t>tăng</w:t>
      </w:r>
      <w:r>
        <w:rPr>
          <w:spacing w:val="21"/>
          <w:sz w:val="28"/>
        </w:rPr>
        <w:t> </w:t>
      </w:r>
      <w:r>
        <w:rPr>
          <w:sz w:val="28"/>
        </w:rPr>
        <w:t>gần</w:t>
      </w:r>
      <w:r>
        <w:rPr>
          <w:spacing w:val="20"/>
          <w:sz w:val="28"/>
        </w:rPr>
        <w:t> </w:t>
      </w:r>
      <w:r>
        <w:rPr>
          <w:sz w:val="28"/>
        </w:rPr>
        <w:t>30</w:t>
      </w:r>
      <w:r>
        <w:rPr>
          <w:spacing w:val="22"/>
          <w:sz w:val="28"/>
        </w:rPr>
        <w:t> </w:t>
      </w:r>
      <w:r>
        <w:rPr>
          <w:sz w:val="28"/>
        </w:rPr>
        <w:t>điểm</w:t>
      </w:r>
      <w:r>
        <w:rPr>
          <w:spacing w:val="19"/>
          <w:sz w:val="28"/>
        </w:rPr>
        <w:t> </w:t>
      </w:r>
      <w:r>
        <w:rPr>
          <w:sz w:val="28"/>
        </w:rPr>
        <w:t>phần</w:t>
      </w:r>
    </w:p>
    <w:p>
      <w:pPr>
        <w:pStyle w:val="BodyText"/>
        <w:spacing w:before="1"/>
        <w:ind w:right="301" w:firstLine="0"/>
        <w:jc w:val="left"/>
      </w:pPr>
      <w:r>
        <w:rPr/>
        <w:t>trăm, lên mức 310% GDP trong quý II năm 2024 và dự kiến sẽ tăng thêm lên 312% vào cuối năm 2024, trở thành lực cản tiềm ẩn đối với  tăng trưởng  kinh  tế  của Trung Quốc. Theo các nhà phân tích của S&amp;P Global Ratings, cuộc khủng hoảng   bất động sản đã ảnh hưởng đáng kể đến doanh thu của các chính quyền địa phương Trung Quốc. Các tài khoản tài chính của chính quyền địa phương đã bị ảnh hưởng  do doanh thu bán đất giảm trong ít nhất hai hoặc ba năm, trong khi việc cắt giảm  thuế và phí kể từ năm 2018 đã làm giảm nguồn thu thuế trung bình 10% trên toàn quốc. Bên cạnh đó, chính quyền địa phương đã gánh chịu mức nợ đáng kể khi tài   trợ cho các dự án hạ tầng công cộng vốn thường mang lại lợi nhuận tài chính hạn chế. S&amp;P Global Ratings dự đoán các chính quyền địa phương Trung Quốc sẽ mất  từ ba đến năm năm để khôi phục tình hình tài</w:t>
      </w:r>
      <w:r>
        <w:rPr>
          <w:spacing w:val="-16"/>
        </w:rPr>
        <w:t> </w:t>
      </w:r>
      <w:r>
        <w:rPr/>
        <w:t>chính.</w:t>
      </w:r>
    </w:p>
    <w:p>
      <w:pPr>
        <w:pStyle w:val="BodyText"/>
        <w:spacing w:before="119"/>
        <w:ind w:right="346"/>
      </w:pPr>
      <w:r>
        <w:rPr/>
        <w:t>Năm 2024, để cải thiện tình hình tài chính, chính quyền địa phương Trung Quốc đã tiến hành truy thu thuế từ nhiều năm về trước. Điều này khiến các doanh nghiệp vốn đã khó khăn lại càng khó khăn hơn, dẫn đến tình trạng cắt giảm nhân sự và không tăng lương, làm tăng thêm </w:t>
      </w:r>
      <w:r>
        <w:rPr>
          <w:spacing w:val="3"/>
        </w:rPr>
        <w:t>sự </w:t>
      </w:r>
      <w:r>
        <w:rPr/>
        <w:t>không chắc chắn của người tiêu dùng về thu nhập trong tương</w:t>
      </w:r>
      <w:r>
        <w:rPr>
          <w:spacing w:val="-5"/>
        </w:rPr>
        <w:t> </w:t>
      </w:r>
      <w:r>
        <w:rPr/>
        <w:t>lai.</w:t>
      </w:r>
    </w:p>
    <w:p>
      <w:pPr>
        <w:pStyle w:val="ListParagraph"/>
        <w:numPr>
          <w:ilvl w:val="0"/>
          <w:numId w:val="2"/>
        </w:numPr>
        <w:tabs>
          <w:tab w:pos="981" w:val="left" w:leader="none"/>
        </w:tabs>
        <w:spacing w:line="240" w:lineRule="auto" w:before="121" w:after="0"/>
        <w:ind w:left="118" w:right="345" w:firstLine="566"/>
        <w:jc w:val="both"/>
        <w:rPr>
          <w:sz w:val="28"/>
        </w:rPr>
      </w:pPr>
      <w:r>
        <w:rPr>
          <w:b/>
          <w:sz w:val="28"/>
        </w:rPr>
        <w:t>Trong kỳ nghỉ lễ Trung thu 2024 của Trung Quốc, giao thông, du lịch và tiêu dùng bùng nổ kỷ lục: </w:t>
      </w:r>
      <w:r>
        <w:rPr>
          <w:sz w:val="28"/>
        </w:rPr>
        <w:t>Kỳ nghỉ lễ Trung thu năm 2024 kéo dài ba ngày đã chính thức khép lại vào ngày 17/9. Ước tính trong suốt kỳ nghỉ, tổng số lượng người di chuyển vượt mốc 600 triệu lượt, với trung bình mỗi ngày hơn 205 triệu lượt người, tăng 28,2% so với cùng kỳ năm</w:t>
      </w:r>
      <w:r>
        <w:rPr>
          <w:spacing w:val="-6"/>
          <w:sz w:val="28"/>
        </w:rPr>
        <w:t> </w:t>
      </w:r>
      <w:r>
        <w:rPr>
          <w:sz w:val="28"/>
        </w:rPr>
        <w:t>2023.</w:t>
      </w:r>
    </w:p>
    <w:p>
      <w:pPr>
        <w:pStyle w:val="BodyText"/>
        <w:spacing w:before="120"/>
        <w:ind w:right="342"/>
      </w:pPr>
      <w:r>
        <w:rPr>
          <w:spacing w:val="-4"/>
        </w:rPr>
        <w:t>Trong đó, </w:t>
      </w:r>
      <w:r>
        <w:rPr>
          <w:spacing w:val="-3"/>
        </w:rPr>
        <w:t>nổi bật </w:t>
      </w:r>
      <w:r>
        <w:rPr/>
        <w:t>là </w:t>
      </w:r>
      <w:r>
        <w:rPr>
          <w:spacing w:val="-4"/>
        </w:rPr>
        <w:t>ngành đường </w:t>
      </w:r>
      <w:r>
        <w:rPr>
          <w:spacing w:val="-3"/>
        </w:rPr>
        <w:t>sắt, với </w:t>
      </w:r>
      <w:r>
        <w:rPr>
          <w:spacing w:val="-5"/>
        </w:rPr>
        <w:t>lượng </w:t>
      </w:r>
      <w:r>
        <w:rPr>
          <w:spacing w:val="-4"/>
        </w:rPr>
        <w:t>hành khách </w:t>
      </w:r>
      <w:r>
        <w:rPr/>
        <w:t>đi </w:t>
      </w:r>
      <w:r>
        <w:rPr>
          <w:spacing w:val="-4"/>
        </w:rPr>
        <w:t>tàu </w:t>
      </w:r>
      <w:r>
        <w:rPr>
          <w:spacing w:val="-3"/>
        </w:rPr>
        <w:t>ước tính đạt </w:t>
      </w:r>
      <w:r>
        <w:rPr>
          <w:spacing w:val="-4"/>
        </w:rPr>
        <w:t>trên 42,99 triệu lượt, </w:t>
      </w:r>
      <w:r>
        <w:rPr>
          <w:spacing w:val="-3"/>
        </w:rPr>
        <w:t>cho </w:t>
      </w:r>
      <w:r>
        <w:rPr>
          <w:spacing w:val="-4"/>
        </w:rPr>
        <w:t>thấy </w:t>
      </w:r>
      <w:r>
        <w:rPr>
          <w:spacing w:val="-3"/>
        </w:rPr>
        <w:t>nhu </w:t>
      </w:r>
      <w:r>
        <w:rPr>
          <w:spacing w:val="-4"/>
        </w:rPr>
        <w:t>cầu </w:t>
      </w:r>
      <w:r>
        <w:rPr>
          <w:spacing w:val="-3"/>
        </w:rPr>
        <w:t>di </w:t>
      </w:r>
      <w:r>
        <w:rPr>
          <w:spacing w:val="-5"/>
        </w:rPr>
        <w:t>chuyển </w:t>
      </w:r>
      <w:r>
        <w:rPr>
          <w:spacing w:val="-4"/>
        </w:rPr>
        <w:t>tăng cao. </w:t>
      </w:r>
      <w:r>
        <w:rPr>
          <w:spacing w:val="-3"/>
        </w:rPr>
        <w:t>Đặc </w:t>
      </w:r>
      <w:r>
        <w:rPr>
          <w:spacing w:val="-4"/>
        </w:rPr>
        <w:t>biệt, các tuyến tàu cao </w:t>
      </w:r>
      <w:r>
        <w:rPr>
          <w:spacing w:val="-3"/>
        </w:rPr>
        <w:t>tốc </w:t>
      </w:r>
      <w:r>
        <w:rPr>
          <w:spacing w:val="-4"/>
        </w:rPr>
        <w:t>quan trọng </w:t>
      </w:r>
      <w:r>
        <w:rPr>
          <w:spacing w:val="-3"/>
        </w:rPr>
        <w:t>như </w:t>
      </w:r>
      <w:r>
        <w:rPr/>
        <w:t>Bắc </w:t>
      </w:r>
      <w:r>
        <w:rPr>
          <w:spacing w:val="-4"/>
        </w:rPr>
        <w:t>Kinh </w:t>
      </w:r>
      <w:r>
        <w:rPr/>
        <w:t>- </w:t>
      </w:r>
      <w:r>
        <w:rPr>
          <w:spacing w:val="-4"/>
        </w:rPr>
        <w:t>Thượng Hải, Thượng Hải </w:t>
      </w:r>
      <w:r>
        <w:rPr/>
        <w:t>- </w:t>
      </w:r>
      <w:r>
        <w:rPr>
          <w:spacing w:val="-3"/>
        </w:rPr>
        <w:t>Côn Minh và </w:t>
      </w:r>
      <w:r>
        <w:rPr>
          <w:spacing w:val="-4"/>
        </w:rPr>
        <w:t>Hàng Châu </w:t>
      </w:r>
      <w:r>
        <w:rPr/>
        <w:t>- </w:t>
      </w:r>
      <w:r>
        <w:rPr>
          <w:spacing w:val="-4"/>
        </w:rPr>
        <w:t>Thâm Quyến </w:t>
      </w:r>
      <w:r>
        <w:rPr/>
        <w:t>đã </w:t>
      </w:r>
      <w:r>
        <w:rPr>
          <w:spacing w:val="-4"/>
        </w:rPr>
        <w:t>khôi </w:t>
      </w:r>
      <w:r>
        <w:rPr>
          <w:spacing w:val="-3"/>
        </w:rPr>
        <w:t>phục </w:t>
      </w:r>
      <w:r>
        <w:rPr>
          <w:spacing w:val="-4"/>
        </w:rPr>
        <w:t>hoạt động </w:t>
      </w:r>
      <w:r>
        <w:rPr>
          <w:spacing w:val="-3"/>
        </w:rPr>
        <w:t>sau </w:t>
      </w:r>
      <w:r>
        <w:rPr>
          <w:spacing w:val="-4"/>
        </w:rPr>
        <w:t>khi </w:t>
      </w:r>
      <w:r>
        <w:rPr>
          <w:spacing w:val="-3"/>
        </w:rPr>
        <w:t>ảnh </w:t>
      </w:r>
      <w:r>
        <w:rPr>
          <w:spacing w:val="-4"/>
        </w:rPr>
        <w:t>hưởng </w:t>
      </w:r>
      <w:r>
        <w:rPr>
          <w:spacing w:val="-3"/>
        </w:rPr>
        <w:t>của </w:t>
      </w:r>
      <w:r>
        <w:rPr>
          <w:spacing w:val="-4"/>
        </w:rPr>
        <w:t>cơn </w:t>
      </w:r>
      <w:r>
        <w:rPr>
          <w:spacing w:val="-3"/>
        </w:rPr>
        <w:t>bão </w:t>
      </w:r>
      <w:r>
        <w:rPr>
          <w:spacing w:val="-4"/>
        </w:rPr>
        <w:t>Bebinca </w:t>
      </w:r>
      <w:r>
        <w:rPr>
          <w:spacing w:val="-3"/>
        </w:rPr>
        <w:t>giảm </w:t>
      </w:r>
      <w:r>
        <w:rPr>
          <w:spacing w:val="-4"/>
        </w:rPr>
        <w:t>bớt. Không </w:t>
      </w:r>
      <w:r>
        <w:rPr>
          <w:spacing w:val="-3"/>
        </w:rPr>
        <w:t>chỉ đáp ứng nhu cầu </w:t>
      </w:r>
      <w:r>
        <w:rPr/>
        <w:t>đi </w:t>
      </w:r>
      <w:r>
        <w:rPr>
          <w:spacing w:val="-4"/>
        </w:rPr>
        <w:t>lại, các </w:t>
      </w:r>
      <w:r>
        <w:rPr>
          <w:spacing w:val="-3"/>
        </w:rPr>
        <w:t>đơn </w:t>
      </w:r>
      <w:r>
        <w:rPr/>
        <w:t>vị </w:t>
      </w:r>
      <w:r>
        <w:rPr>
          <w:spacing w:val="-4"/>
        </w:rPr>
        <w:t>đường </w:t>
      </w:r>
      <w:r>
        <w:rPr>
          <w:spacing w:val="-3"/>
        </w:rPr>
        <w:t>sắt còn </w:t>
      </w:r>
      <w:r>
        <w:rPr/>
        <w:t>tổ </w:t>
      </w:r>
      <w:r>
        <w:rPr>
          <w:spacing w:val="-4"/>
        </w:rPr>
        <w:t>chức các chuyến</w:t>
      </w:r>
      <w:r>
        <w:rPr>
          <w:spacing w:val="62"/>
        </w:rPr>
        <w:t> </w:t>
      </w:r>
      <w:r>
        <w:rPr>
          <w:spacing w:val="-3"/>
        </w:rPr>
        <w:t>tàu </w:t>
      </w:r>
      <w:r>
        <w:rPr/>
        <w:t>du </w:t>
      </w:r>
      <w:r>
        <w:rPr>
          <w:spacing w:val="-4"/>
        </w:rPr>
        <w:t>lịch chuyên biệt </w:t>
      </w:r>
      <w:r>
        <w:rPr>
          <w:spacing w:val="-3"/>
        </w:rPr>
        <w:t>cho dịp </w:t>
      </w:r>
      <w:r>
        <w:rPr>
          <w:spacing w:val="-4"/>
        </w:rPr>
        <w:t>Trung </w:t>
      </w:r>
      <w:r>
        <w:rPr>
          <w:spacing w:val="-3"/>
        </w:rPr>
        <w:t>thu, như tàu ngắm </w:t>
      </w:r>
      <w:r>
        <w:rPr>
          <w:spacing w:val="-4"/>
        </w:rPr>
        <w:t>trăng, thúc </w:t>
      </w:r>
      <w:r>
        <w:rPr>
          <w:spacing w:val="-3"/>
        </w:rPr>
        <w:t>đẩy </w:t>
      </w:r>
      <w:r>
        <w:rPr/>
        <w:t>sự </w:t>
      </w:r>
      <w:r>
        <w:rPr>
          <w:spacing w:val="-3"/>
        </w:rPr>
        <w:t>kết hợp </w:t>
      </w:r>
      <w:r>
        <w:rPr>
          <w:spacing w:val="-4"/>
        </w:rPr>
        <w:t>giữa giao thông đường </w:t>
      </w:r>
      <w:r>
        <w:rPr>
          <w:spacing w:val="-3"/>
        </w:rPr>
        <w:t>sắt </w:t>
      </w:r>
      <w:r>
        <w:rPr/>
        <w:t>và du </w:t>
      </w:r>
      <w:r>
        <w:rPr>
          <w:spacing w:val="-4"/>
        </w:rPr>
        <w:t>lịch </w:t>
      </w:r>
      <w:r>
        <w:rPr>
          <w:spacing w:val="-3"/>
        </w:rPr>
        <w:t>văn </w:t>
      </w:r>
      <w:r>
        <w:rPr>
          <w:spacing w:val="-4"/>
        </w:rPr>
        <w:t>hóa.</w:t>
      </w:r>
    </w:p>
    <w:p>
      <w:pPr>
        <w:spacing w:after="0"/>
        <w:sectPr>
          <w:pgSz w:w="11910" w:h="16840"/>
          <w:pgMar w:header="0" w:footer="944" w:top="1060" w:bottom="1200" w:left="1300" w:right="780"/>
        </w:sectPr>
      </w:pPr>
    </w:p>
    <w:p>
      <w:pPr>
        <w:pStyle w:val="BodyText"/>
        <w:spacing w:before="59"/>
        <w:ind w:right="347"/>
      </w:pPr>
      <w:r>
        <w:rPr/>
        <w:t>Ngành hàng không cũng ghi nhận sự tăng trưởng ấn tượng với tổng số hành khách đạt 5,11 triệu lượt. Các tuyến bay chủ yếu tập trung ở bốn cụm đô thị lớn: Bắc Kinh - Thiên Tân - Hà Bắc, vùng Dương Tử, Quảng Đông - Hồng Kông - Ma Cao và vùng Thành Đô - Trùng Khánh. Đặc biệt, tại sân bay Quốc tế Bạch Vân (Quảng Châu), lượng khách xuất nhập cảnh đã vượt mốc 10 triệu lượt, tăng 19% so với năm trước và đạt mức cao nhất trong vòng 5 năm qua. Điều này phản ánh sự phục hồi mạnh mẽ của thị trường du lịch.</w:t>
      </w:r>
    </w:p>
    <w:p>
      <w:pPr>
        <w:pStyle w:val="BodyText"/>
        <w:spacing w:before="123"/>
        <w:ind w:right="347"/>
      </w:pPr>
      <w:r>
        <w:rPr/>
        <w:t>Không chỉ có du lịch trong nước, thị trường du lịch quốc tế của Trung Quốc cũng chứng kiến sự tăng trưởng vượt bậc. Nhiều du khách đã tận dụng kỳ nghỉ Trung thu kết hợp với nghỉ phép để du lịch nước ngoài, trong khi lượng du khách quốc tế đến Trung Quốc cũng tăng mạnh nhằm trải nghiệm không khí lễ hội. Theo các số liệu từ các nền tảng du lịch, lượng đặt vé máy bay quốc tế đã tăng hơn 160% so với năm trước, và lượng đặt phòng khách sạn quốc tế tăng gần 140%, thể hiện sự phục hồi nhanh chóng của thị trường du lịch toàn</w:t>
      </w:r>
      <w:r>
        <w:rPr>
          <w:spacing w:val="-8"/>
        </w:rPr>
        <w:t> </w:t>
      </w:r>
      <w:r>
        <w:rPr/>
        <w:t>cầu.</w:t>
      </w:r>
    </w:p>
    <w:p>
      <w:pPr>
        <w:pStyle w:val="BodyText"/>
        <w:spacing w:before="120"/>
        <w:ind w:right="346"/>
      </w:pPr>
      <w:r>
        <w:rPr/>
        <w:t>Theo thông báo của Cục Quản lý di dân Quốc gia Trung Quốc, trong dịp nghỉ Tết Trung thu năm 2024, tại các cửa khẩu, cơ quan kiểm tra biên giới toàn quốc nước này đã đảm bảo 5,256 triệu lượt người Trung Quốc và khách quốc tế xuất nhập cảnh thuận lợi, trung bình mỗi ngày 1,752 triệu lượt người, tăng 18,6% so với cùng kỳ Tết Trung thu năm 2023. Trong đó, khách nội địa xuất nhập cảnh đạt 2,632 triệu lượt người, tăng 15,1% so với cùng kỳ năm 2023; khách Hồng Kông, Ma Cao, Đài Loan tăng 7,3% so với cùng kỳ năm 2023; khách nước</w:t>
      </w:r>
      <w:r>
        <w:rPr>
          <w:spacing w:val="19"/>
        </w:rPr>
        <w:t> </w:t>
      </w:r>
      <w:r>
        <w:rPr/>
        <w:t>ngoài là</w:t>
      </w:r>
    </w:p>
    <w:p>
      <w:pPr>
        <w:pStyle w:val="BodyText"/>
        <w:ind w:right="347" w:firstLine="0"/>
      </w:pPr>
      <w:r>
        <w:rPr/>
        <w:t>554.000 lượt người, tăng 62,2% so với cùng kỳ năm 2023. Tổng cộng có 242.000 phương tiện giao thông vận tải xuất nhập cảnh được kiểm tra, tăng 37,6% so với cùng kỳ năm 2023.</w:t>
      </w:r>
    </w:p>
    <w:p>
      <w:pPr>
        <w:pStyle w:val="ListParagraph"/>
        <w:numPr>
          <w:ilvl w:val="0"/>
          <w:numId w:val="2"/>
        </w:numPr>
        <w:tabs>
          <w:tab w:pos="971" w:val="left" w:leader="none"/>
        </w:tabs>
        <w:spacing w:line="240" w:lineRule="auto" w:before="119" w:after="0"/>
        <w:ind w:left="118" w:right="347" w:firstLine="566"/>
        <w:jc w:val="both"/>
        <w:rPr>
          <w:sz w:val="28"/>
        </w:rPr>
      </w:pPr>
      <w:r>
        <w:rPr>
          <w:b/>
          <w:sz w:val="28"/>
        </w:rPr>
        <w:t>Tổng chiều dài đường sắt Trung Quốc vượt hơn 160.000 km, đứng đầu thế giới: </w:t>
      </w:r>
      <w:r>
        <w:rPr>
          <w:sz w:val="28"/>
        </w:rPr>
        <w:t>Ngày 14/9, tuyến đường sắt cao tốc Long - Long nối liền thành phố Long Nham (Phúc Kiến) đi qua thành phố Mai Châu, tỉnh Quảng Đông và kết thúc tại huyện Long Xuyên, thành phố Hà Nguyên (tỉnh Quảng Đông) đã được khai thác  và vận hành, trở thành con đường cao tốc mới nối liền khu cách mạng truyền thống ở phía đông của tỉnh Quảng Đông và vùng Vịnh lớn. Tổng chiều dài tuyến đường sắt cao tốc này là 290 km và tốc độ thiết kế là 350 km/h. Sau khi khai trương, thời gian di chuyển nhanh nhất từ Mai Châu đến Long Xuyên chỉ là 29 phút, rút ngắn được 1 giờ 14 phút so với trước</w:t>
      </w:r>
      <w:r>
        <w:rPr>
          <w:spacing w:val="-5"/>
          <w:sz w:val="28"/>
        </w:rPr>
        <w:t> </w:t>
      </w:r>
      <w:r>
        <w:rPr>
          <w:sz w:val="28"/>
        </w:rPr>
        <w:t>đây.</w:t>
      </w:r>
    </w:p>
    <w:p>
      <w:pPr>
        <w:pStyle w:val="BodyText"/>
        <w:spacing w:before="122"/>
        <w:ind w:right="347"/>
      </w:pPr>
      <w:r>
        <w:rPr/>
        <w:t>Với việc đi vào vận hành của tuyến đường sắt cao tốc Long - Long, tổng chiều dài vận hành đường sắt Trung Quốc đã vượt qua mốc 160.000 km, trong đó hơn 46.000 km là đường sắt cao tốc. Tốc độ vận hành thương mại và chiều dài vận hành đường sắt cao tốc Trung Quốc hiện đang đứng đầu thế</w:t>
      </w:r>
      <w:r>
        <w:rPr>
          <w:spacing w:val="-15"/>
        </w:rPr>
        <w:t> </w:t>
      </w:r>
      <w:r>
        <w:rPr/>
        <w:t>giới.</w:t>
      </w:r>
    </w:p>
    <w:p>
      <w:pPr>
        <w:pStyle w:val="Heading1"/>
        <w:numPr>
          <w:ilvl w:val="0"/>
          <w:numId w:val="2"/>
        </w:numPr>
        <w:tabs>
          <w:tab w:pos="966" w:val="left" w:leader="none"/>
        </w:tabs>
        <w:spacing w:line="240" w:lineRule="auto" w:before="119" w:after="0"/>
        <w:ind w:left="966" w:right="0" w:hanging="281"/>
        <w:jc w:val="both"/>
      </w:pPr>
      <w:r>
        <w:rPr/>
        <w:t>Đánh giá về kinh tế Trung</w:t>
      </w:r>
      <w:r>
        <w:rPr>
          <w:spacing w:val="-10"/>
        </w:rPr>
        <w:t> </w:t>
      </w:r>
      <w:r>
        <w:rPr/>
        <w:t>Quốc:</w:t>
      </w:r>
    </w:p>
    <w:p>
      <w:pPr>
        <w:spacing w:line="240" w:lineRule="auto" w:before="120"/>
        <w:ind w:left="118" w:right="346" w:firstLine="566"/>
        <w:jc w:val="both"/>
        <w:rPr>
          <w:sz w:val="28"/>
        </w:rPr>
      </w:pPr>
      <w:r>
        <w:rPr>
          <w:b/>
          <w:i/>
          <w:sz w:val="28"/>
        </w:rPr>
        <w:t>Một số tổ chức quốc tế hạ mức dự báo tăng trưởng kinh tế Trung Quốc </w:t>
      </w:r>
      <w:r>
        <w:rPr>
          <w:b/>
          <w:i/>
          <w:sz w:val="28"/>
        </w:rPr>
        <w:t>trong năm 2024: </w:t>
      </w:r>
      <w:r>
        <w:rPr>
          <w:sz w:val="28"/>
        </w:rPr>
        <w:t>Ngày 13/9, công ty Mizuho Securities Asia (Nhật Bản) đã hạ thấp dự báo tăng trưởng kinh tế Trung Quốc năm 2024 từ 4,8% xuống còn 4,7% với</w:t>
      </w:r>
      <w:r>
        <w:rPr>
          <w:spacing w:val="30"/>
          <w:sz w:val="28"/>
        </w:rPr>
        <w:t> </w:t>
      </w:r>
      <w:r>
        <w:rPr>
          <w:sz w:val="28"/>
        </w:rPr>
        <w:t>lý</w:t>
      </w:r>
      <w:r>
        <w:rPr>
          <w:spacing w:val="31"/>
          <w:sz w:val="28"/>
        </w:rPr>
        <w:t> </w:t>
      </w:r>
      <w:r>
        <w:rPr>
          <w:sz w:val="28"/>
        </w:rPr>
        <w:t>do</w:t>
      </w:r>
      <w:r>
        <w:rPr>
          <w:spacing w:val="30"/>
          <w:sz w:val="28"/>
        </w:rPr>
        <w:t> </w:t>
      </w:r>
      <w:r>
        <w:rPr>
          <w:sz w:val="28"/>
        </w:rPr>
        <w:t>“việc</w:t>
      </w:r>
      <w:r>
        <w:rPr>
          <w:spacing w:val="28"/>
          <w:sz w:val="28"/>
        </w:rPr>
        <w:t> </w:t>
      </w:r>
      <w:r>
        <w:rPr>
          <w:sz w:val="28"/>
        </w:rPr>
        <w:t>thực</w:t>
      </w:r>
      <w:r>
        <w:rPr>
          <w:spacing w:val="27"/>
          <w:sz w:val="28"/>
        </w:rPr>
        <w:t> </w:t>
      </w:r>
      <w:r>
        <w:rPr>
          <w:sz w:val="28"/>
        </w:rPr>
        <w:t>hiện</w:t>
      </w:r>
      <w:r>
        <w:rPr>
          <w:spacing w:val="31"/>
          <w:sz w:val="28"/>
        </w:rPr>
        <w:t> </w:t>
      </w:r>
      <w:r>
        <w:rPr>
          <w:sz w:val="28"/>
        </w:rPr>
        <w:t>các</w:t>
      </w:r>
      <w:r>
        <w:rPr>
          <w:spacing w:val="30"/>
          <w:sz w:val="28"/>
        </w:rPr>
        <w:t> </w:t>
      </w:r>
      <w:r>
        <w:rPr>
          <w:sz w:val="28"/>
        </w:rPr>
        <w:t>chính</w:t>
      </w:r>
      <w:r>
        <w:rPr>
          <w:spacing w:val="27"/>
          <w:sz w:val="28"/>
        </w:rPr>
        <w:t> </w:t>
      </w:r>
      <w:r>
        <w:rPr>
          <w:sz w:val="28"/>
        </w:rPr>
        <w:t>sách</w:t>
      </w:r>
      <w:r>
        <w:rPr>
          <w:spacing w:val="31"/>
          <w:sz w:val="28"/>
        </w:rPr>
        <w:t> </w:t>
      </w:r>
      <w:r>
        <w:rPr>
          <w:sz w:val="28"/>
        </w:rPr>
        <w:t>hiện</w:t>
      </w:r>
      <w:r>
        <w:rPr>
          <w:spacing w:val="27"/>
          <w:sz w:val="28"/>
        </w:rPr>
        <w:t> </w:t>
      </w:r>
      <w:r>
        <w:rPr>
          <w:sz w:val="28"/>
        </w:rPr>
        <w:t>nay</w:t>
      </w:r>
      <w:r>
        <w:rPr>
          <w:spacing w:val="31"/>
          <w:sz w:val="28"/>
        </w:rPr>
        <w:t> </w:t>
      </w:r>
      <w:r>
        <w:rPr>
          <w:sz w:val="28"/>
        </w:rPr>
        <w:t>chưa</w:t>
      </w:r>
      <w:r>
        <w:rPr>
          <w:spacing w:val="27"/>
          <w:sz w:val="28"/>
        </w:rPr>
        <w:t> </w:t>
      </w:r>
      <w:r>
        <w:rPr>
          <w:sz w:val="28"/>
        </w:rPr>
        <w:t>đủ</w:t>
      </w:r>
      <w:r>
        <w:rPr>
          <w:spacing w:val="32"/>
          <w:sz w:val="28"/>
        </w:rPr>
        <w:t> </w:t>
      </w:r>
      <w:r>
        <w:rPr>
          <w:sz w:val="28"/>
        </w:rPr>
        <w:t>mạnh</w:t>
      </w:r>
      <w:r>
        <w:rPr>
          <w:spacing w:val="31"/>
          <w:sz w:val="28"/>
        </w:rPr>
        <w:t> </w:t>
      </w:r>
      <w:r>
        <w:rPr>
          <w:sz w:val="28"/>
        </w:rPr>
        <w:t>mẽ”.</w:t>
      </w:r>
      <w:r>
        <w:rPr>
          <w:spacing w:val="29"/>
          <w:sz w:val="28"/>
        </w:rPr>
        <w:t> </w:t>
      </w:r>
      <w:r>
        <w:rPr>
          <w:sz w:val="28"/>
        </w:rPr>
        <w:t>Vào</w:t>
      </w:r>
      <w:r>
        <w:rPr>
          <w:spacing w:val="31"/>
          <w:sz w:val="28"/>
        </w:rPr>
        <w:t> </w:t>
      </w:r>
      <w:r>
        <w:rPr>
          <w:sz w:val="28"/>
        </w:rPr>
        <w:t>cuối</w:t>
      </w:r>
    </w:p>
    <w:p>
      <w:pPr>
        <w:spacing w:after="0" w:line="240" w:lineRule="auto"/>
        <w:jc w:val="both"/>
        <w:rPr>
          <w:sz w:val="28"/>
        </w:rPr>
        <w:sectPr>
          <w:pgSz w:w="11910" w:h="16840"/>
          <w:pgMar w:header="0" w:footer="944" w:top="1060" w:bottom="1200" w:left="1300" w:right="780"/>
        </w:sectPr>
      </w:pPr>
    </w:p>
    <w:p>
      <w:pPr>
        <w:pStyle w:val="BodyText"/>
        <w:spacing w:before="59"/>
        <w:ind w:right="279" w:firstLine="0"/>
      </w:pPr>
      <w:r>
        <w:rPr/>
        <w:t>tháng 8/2024, Ngân hàng UBS (Thụy Sỹ) đã hạ dự báo tăng trưởng kinh tế Trung Quốc từ 4,9% xuống 4,6%, trong khi các ngân hàng JPMorgan Chase và Nomura lần lượt hạ dự báo xuống các mức là 4,6% và 4,5%. Ngày 18/9, các nhà phân tích tại Goldman Sachs đã giảm dự báo tăng trưởng kinh tế Trung Quốc năm 2024 từ 4,9% xuống còn 4,7%. Goldman Sachs cũng chỉ ra mối lo ngại ngày càng tăng về giảm phát sau khi chỉ số giá tiêu dùng của Trung Quốc chỉ tăng 0,6% trong tháng 8, trong khi chỉ số giá sản xuất cũng không đạt kỳ vọng. Chuyên gia Sunny Liu, nhà kinh tế trưởng tại Oxford Economics nhận định về sự suy thoái nhẹ theo chu kỳ  của nền kinh tế Trung Quốc vào cuối năm và dự báo tăng trưởng GDP năm 2024 là 4,8%. Các nhà phân tích tại HSBC đã dự báo tăng trưởng kinh tế của Trung Quốc sẽ đạt 4,9% trong năm 2024, nhưng với nhu cầu trong nước đang yếu đi, có khả năng Chính phủ Trung Quốc sẽ cần kích thích kinh tế nhiều hơn để đạt mục tiêu tăng trưởng đề</w:t>
      </w:r>
      <w:r>
        <w:rPr>
          <w:spacing w:val="-6"/>
        </w:rPr>
        <w:t> </w:t>
      </w:r>
      <w:r>
        <w:rPr/>
        <w:t>ra.</w:t>
      </w:r>
    </w:p>
    <w:p>
      <w:pPr>
        <w:pStyle w:val="BodyText"/>
        <w:spacing w:before="123"/>
        <w:ind w:right="346"/>
      </w:pPr>
      <w:r>
        <w:rPr>
          <w:b/>
          <w:i/>
        </w:rPr>
        <w:t>Các chuyên gia quốc tế </w:t>
      </w:r>
      <w:r>
        <w:rPr/>
        <w:t>tỏ sự thận trọng đối với triển vọng kinh tế TQ: </w:t>
      </w:r>
      <w:r>
        <w:rPr>
          <w:i/>
        </w:rPr>
        <w:t>(i) </w:t>
      </w:r>
      <w:r>
        <w:rPr/>
        <w:t>Một số chỉ số quan trọng như CPI và PPI suy giảm hoặc không đạt kỳ vọng, cho thấy động lực tăng trưởng của kinh tế Trung Quốc bị suy giảm, rủi ro không đạt được mục tiêu tăng trưởng khoảng 5% năm 2024 đang ngày càng lớn; </w:t>
      </w:r>
      <w:r>
        <w:rPr>
          <w:i/>
        </w:rPr>
        <w:t>(ii) </w:t>
      </w:r>
      <w:r>
        <w:rPr/>
        <w:t>Các biện pháp của Chính phủ Trung Quốc nhằm thực hiện mục tiêu tăng trưởng vẫn chưa phát huy được hiệu quả; </w:t>
      </w:r>
      <w:r>
        <w:rPr>
          <w:i/>
        </w:rPr>
        <w:t>(iii) </w:t>
      </w:r>
      <w:r>
        <w:rPr/>
        <w:t>Lĩnh vực bất động sản tiếp tục là yếu tố kéo lùi và cản trở tăng trưởng kinh tế Trung Quốc, đồng thời các biện pháp nới lỏng được Chính phủ Trung Quốc áp dụng trong tháng 5/2024 chưa thực sự phát huy tác dụng</w:t>
      </w:r>
      <w:hyperlink w:history="true" w:anchor="_bookmark1">
        <w:r>
          <w:rPr>
            <w:vertAlign w:val="superscript"/>
          </w:rPr>
          <w:t>2</w:t>
        </w:r>
      </w:hyperlink>
      <w:r>
        <w:rPr>
          <w:vertAlign w:val="baseline"/>
        </w:rPr>
        <w:t>; </w:t>
      </w:r>
      <w:r>
        <w:rPr>
          <w:i/>
          <w:vertAlign w:val="baseline"/>
        </w:rPr>
        <w:t>(iv) </w:t>
      </w:r>
      <w:r>
        <w:rPr>
          <w:vertAlign w:val="baseline"/>
        </w:rPr>
        <w:t>Bất chấp số liệu tăng trưởng xuất khẩu mạnh hơn dự kiến, nhu cầu trong nước của Trung Quốc tiếp tục suy yếu đã kìm hãm tăng trưởng sản xuất; </w:t>
      </w:r>
      <w:r>
        <w:rPr>
          <w:i/>
          <w:vertAlign w:val="baseline"/>
        </w:rPr>
        <w:t>(v) </w:t>
      </w:r>
      <w:r>
        <w:rPr>
          <w:vertAlign w:val="baseline"/>
        </w:rPr>
        <w:t>Chính phủ Trung Quốc cần đẩy mạnh thực hiện chính sách tài khóa, phát huy vai trò điều tiết ngược chu kỳ để bảo đảm kinh tế tăng trưởng ổn</w:t>
      </w:r>
      <w:r>
        <w:rPr>
          <w:spacing w:val="-17"/>
          <w:vertAlign w:val="baseline"/>
        </w:rPr>
        <w:t> </w:t>
      </w:r>
      <w:r>
        <w:rPr>
          <w:vertAlign w:val="baseline"/>
        </w:rPr>
        <w:t>định.</w:t>
      </w:r>
    </w:p>
    <w:p>
      <w:pPr>
        <w:pStyle w:val="BodyText"/>
        <w:spacing w:before="119"/>
        <w:ind w:right="345"/>
      </w:pPr>
      <w:r>
        <w:rPr>
          <w:b/>
          <w:i/>
        </w:rPr>
        <w:t>Giới chuyên gia TQ </w:t>
      </w:r>
      <w:r>
        <w:rPr/>
        <w:t>vẫn bình luận tương đối tích cực. Ông Ôn Bưu, Chuyên gia kinh tế hàng đầu của Ngân hàng dân sinh Trung Quốc đánh giá, cơ cấu xuất khẩu của Trung Quốc tiếp tục được cải thiện, tỷ trọng thương mại hàng hóa tiếp  tục nâng cao ổn định, năng lực cạnh tranh của “03 động lực xuất khẩu mới” là xe ô tô năng lượng mới, pin lithium, pin năng lượng mặt trời, tiếp tục được tăng cường, chính sách khu thương mại tự do ngày càng cho thấy tính hiệu quả, các ngành nghề thương mại mới như thương mại điện tử xuyên biên giới không ngừng hình thành và phát triển, hợp tác kinh tế thương mại với các nước dọc tuyến BRI không ngừng đi vào chiều sâu. Đồng thời, trong bối cảnh mở cửa tài chính trình độ cao của Trung Quốc được thúc đẩy ổn định, các tổ chức đầu tư nước ngoài ngày càng đánh giá cao thị trường vốn của Trung Quốc, quy mô nắm giữ trái phiếu của Trung Quốc đạt kỷ lục mới v.v., tất cả các yếu tố trên đã hình thành những nền tảng vững chắc cho quy mô dự trữ ngoại hối của Trung</w:t>
      </w:r>
      <w:r>
        <w:rPr>
          <w:spacing w:val="-10"/>
        </w:rPr>
        <w:t> </w:t>
      </w:r>
      <w:r>
        <w:rPr/>
        <w:t>Quốc.</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6"/>
        <w:ind w:left="0" w:firstLine="0"/>
        <w:jc w:val="left"/>
        <w:rPr>
          <w:sz w:val="20"/>
        </w:rPr>
      </w:pPr>
      <w:r>
        <w:rPr/>
        <w:pict>
          <v:shape style="position:absolute;margin-left:70.944pt;margin-top:14.165874pt;width:144.050pt;height:.1pt;mso-position-horizontal-relative:page;mso-position-vertical-relative:paragraph;z-index:-251657216;mso-wrap-distance-left:0;mso-wrap-distance-right:0" coordorigin="1419,283" coordsize="2881,0" path="m1419,283l4299,283e" filled="false" stroked="true" strokeweight=".71997pt" strokecolor="#000000">
            <v:path arrowok="t"/>
            <v:stroke dashstyle="solid"/>
            <w10:wrap type="topAndBottom"/>
          </v:shape>
        </w:pict>
      </w:r>
    </w:p>
    <w:p>
      <w:pPr>
        <w:spacing w:before="71"/>
        <w:ind w:left="118" w:right="346" w:firstLine="0"/>
        <w:jc w:val="both"/>
        <w:rPr>
          <w:sz w:val="20"/>
        </w:rPr>
      </w:pPr>
      <w:bookmarkStart w:name="_bookmark1" w:id="2"/>
      <w:bookmarkEnd w:id="2"/>
      <w:r>
        <w:rPr/>
      </w:r>
      <w:r>
        <w:rPr>
          <w:sz w:val="20"/>
          <w:vertAlign w:val="superscript"/>
        </w:rPr>
        <w:t>2</w:t>
      </w:r>
      <w:r>
        <w:rPr>
          <w:sz w:val="20"/>
          <w:vertAlign w:val="baseline"/>
        </w:rPr>
        <w:t> Vào tháng 5/2024, Chính phủ Trung Quốc đã nới lỏng toàn diện chính sách cho vay mua nhà, bao gồm xóa bỏ mức sàn chính sách lãi suất cho vay mua nhà cá nhân, hạ tỷ lệ trả nước cho mua nhà căn đầu tiên xuống mức thấp nhất từ trước đến nay</w:t>
      </w:r>
    </w:p>
    <w:p>
      <w:pPr>
        <w:spacing w:after="0"/>
        <w:jc w:val="both"/>
        <w:rPr>
          <w:sz w:val="20"/>
        </w:rPr>
        <w:sectPr>
          <w:pgSz w:w="11910" w:h="16840"/>
          <w:pgMar w:header="0" w:footer="944" w:top="1060" w:bottom="1140" w:left="1300" w:right="780"/>
        </w:sectPr>
      </w:pPr>
    </w:p>
    <w:p>
      <w:pPr>
        <w:pStyle w:val="Heading1"/>
        <w:numPr>
          <w:ilvl w:val="0"/>
          <w:numId w:val="1"/>
        </w:numPr>
        <w:tabs>
          <w:tab w:pos="1043" w:val="left" w:leader="none"/>
        </w:tabs>
        <w:spacing w:line="240" w:lineRule="auto" w:before="59" w:after="0"/>
        <w:ind w:left="1042" w:right="0" w:hanging="358"/>
        <w:jc w:val="both"/>
      </w:pPr>
      <w:r>
        <w:rPr/>
        <w:t>Về một số động thái chính sách của Trung</w:t>
      </w:r>
      <w:r>
        <w:rPr>
          <w:spacing w:val="-6"/>
        </w:rPr>
        <w:t> </w:t>
      </w:r>
      <w:r>
        <w:rPr/>
        <w:t>Quốc</w:t>
      </w:r>
    </w:p>
    <w:p>
      <w:pPr>
        <w:pStyle w:val="ListParagraph"/>
        <w:numPr>
          <w:ilvl w:val="0"/>
          <w:numId w:val="4"/>
        </w:numPr>
        <w:tabs>
          <w:tab w:pos="1011" w:val="left" w:leader="none"/>
        </w:tabs>
        <w:spacing w:line="240" w:lineRule="auto" w:before="123" w:after="0"/>
        <w:ind w:left="118" w:right="347" w:firstLine="566"/>
        <w:jc w:val="both"/>
        <w:rPr>
          <w:sz w:val="28"/>
        </w:rPr>
      </w:pPr>
      <w:r>
        <w:rPr>
          <w:b/>
          <w:sz w:val="28"/>
        </w:rPr>
        <w:t>Trung Quốc tăng tuổi nghỉ hưu lần đầu tiên kể từ năm 1975. </w:t>
      </w:r>
      <w:r>
        <w:rPr>
          <w:sz w:val="28"/>
        </w:rPr>
        <w:t>Theo quyết định được thông qua tại kỳ họp thứ 11 của Ủy ban Thường vụ Nhân đại khóa 14, độ tuổi nghỉ hưu của người lao động nam ở Trung Quốc sẽ tăng dần từ 60 tuổi lên 63 tuổi, độ tuổi nghỉ hưu của người lao động nữ sẽ tăng dần từ 50 tuổi lên 55 tuổi, trong khi đó độ tuổi nghỉ hưu của những người giữ chức vụ quản lý sẽ tăng dần từ 55 tuổi lên 58 tuổi. Những thay đổi trên sẽ được triển khai trong lộ trình 15 năm, bắt đầu từ tháng 01/2025. Bên cạnh đó, từ năm 2030, số năm đóng bảo hiểm hưu trí tối thiểu để đủ điều kiện nhận lương hưu hằng tháng ở Trung Quốc sẽ tăng dần từ 15 lên 20 năm. Ngoài ra, các quy định mới cũng cho phép người lao động hoãn thời điểm nghỉ hưu nếu đạt được thỏa thuận với người sử dụng lao động. Động thái này được tiến hành dựa trên đánh giá toàn diện về tuổi thọ trung bình, điều kiện sức khỏe, cơ cấu dân số, trình độ học vấn và thị trường lao động ở Trung Quốc. Giới chức Trung Quốc hy vọng cách làm này sẽ giúp giải quyết các thách thức về dân số lão hóa, nhưng các nhà phân tích cho rằng chính sách mới cũng có thể làm gia tăng sự chán nản của người lao động trong bối cảnh nền kinh tế giảm tốc do gia tăng thời gian làm</w:t>
      </w:r>
      <w:r>
        <w:rPr>
          <w:spacing w:val="-6"/>
          <w:sz w:val="28"/>
        </w:rPr>
        <w:t> </w:t>
      </w:r>
      <w:r>
        <w:rPr>
          <w:sz w:val="28"/>
        </w:rPr>
        <w:t>việc.</w:t>
      </w:r>
    </w:p>
    <w:p>
      <w:pPr>
        <w:pStyle w:val="ListParagraph"/>
        <w:numPr>
          <w:ilvl w:val="0"/>
          <w:numId w:val="4"/>
        </w:numPr>
        <w:tabs>
          <w:tab w:pos="976" w:val="left" w:leader="none"/>
        </w:tabs>
        <w:spacing w:line="240" w:lineRule="auto" w:before="119" w:after="0"/>
        <w:ind w:left="118" w:right="346" w:firstLine="566"/>
        <w:jc w:val="both"/>
        <w:rPr>
          <w:sz w:val="28"/>
        </w:rPr>
      </w:pPr>
      <w:r>
        <w:rPr>
          <w:b/>
          <w:sz w:val="28"/>
        </w:rPr>
        <w:t>Trung Quốc nới lỏng hạn chế đối với các nhà đầu tư nước ngoài. </w:t>
      </w:r>
      <w:r>
        <w:rPr>
          <w:sz w:val="28"/>
        </w:rPr>
        <w:t>Ngày 06/9/2024, Ủy ban Phát triển và Cải cách quốc gia và Bộ Thương mại Trung Quốc đã ban hành “Các biện pháp quản lý hành chính đặc biệt (danh mục hạn chế) đối với tiếp cận đầu tư nước ngoài (phiên bản năm 2024)”. Cụ thể, Trung Quốc thu hẹp danh sách các lĩnh vực hạn chế đầu tư nước ngoài, giảm từ 31 lĩnh vực xuống 29 lĩnh vực, trong đó ngành sản xuất không còn hạn chế nào. Văn bản trên sẽ có hiệu lực từ ngày</w:t>
      </w:r>
      <w:r>
        <w:rPr>
          <w:spacing w:val="-1"/>
          <w:sz w:val="28"/>
        </w:rPr>
        <w:t> </w:t>
      </w:r>
      <w:r>
        <w:rPr>
          <w:sz w:val="28"/>
        </w:rPr>
        <w:t>01/11/2024.</w:t>
      </w:r>
    </w:p>
    <w:p>
      <w:pPr>
        <w:pStyle w:val="BodyText"/>
        <w:spacing w:before="120"/>
        <w:ind w:right="346"/>
      </w:pPr>
      <w:r>
        <w:rPr/>
        <w:t>Ngoài ra, ngày 08/9/2024, Bộ Thương mại, Ủy ban Y tế quốc gia và Cục Giám sát, Quản lý y dược quốc gia Trung Quốc đã cùng ban hành “Thông báo về công tác thí điểm mở rộng mở cửa lĩnh vực y tế”, theo đó, cho phép các bệnh viện hoàn toàn thuộc sở hữu nước ngoài được hoạt động tại một số thành phố và khu vực</w:t>
      </w:r>
      <w:hyperlink w:history="true" w:anchor="_bookmark2">
        <w:r>
          <w:rPr>
            <w:vertAlign w:val="superscript"/>
          </w:rPr>
          <w:t>3</w:t>
        </w:r>
      </w:hyperlink>
      <w:r>
        <w:rPr>
          <w:vertAlign w:val="baseline"/>
        </w:rPr>
        <w:t>. Văn bản trên cũng cho phép doanh nghiệp đầu tư nước ngoài triển khai khai thác và ứng dụng công nghệ tế bào gốc, chẩn đoán gene.v.v, nhằm sử dụng cho đăng ký và đưa vào thị trường các sản phẩm liên</w:t>
      </w:r>
      <w:r>
        <w:rPr>
          <w:spacing w:val="-13"/>
          <w:vertAlign w:val="baseline"/>
        </w:rPr>
        <w:t> </w:t>
      </w:r>
      <w:r>
        <w:rPr>
          <w:vertAlign w:val="baseline"/>
        </w:rPr>
        <w:t>quan.</w:t>
      </w:r>
    </w:p>
    <w:p>
      <w:pPr>
        <w:pStyle w:val="ListParagraph"/>
        <w:numPr>
          <w:ilvl w:val="0"/>
          <w:numId w:val="4"/>
        </w:numPr>
        <w:tabs>
          <w:tab w:pos="966" w:val="left" w:leader="none"/>
        </w:tabs>
        <w:spacing w:line="240" w:lineRule="auto" w:before="121" w:after="0"/>
        <w:ind w:left="118" w:right="252" w:firstLine="566"/>
        <w:jc w:val="left"/>
        <w:rPr>
          <w:sz w:val="28"/>
        </w:rPr>
      </w:pPr>
      <w:r>
        <w:rPr>
          <w:b/>
          <w:sz w:val="28"/>
        </w:rPr>
        <w:t>Văn phòng Quốc vụ viện Trung Quốc đã ban hành “Ý kiến về thúc đẩy phát triển chất lượng cao thương mại dịch vụ thông qua mở cửa trình độ cao” (Gọi tắt là “Ý kiến”). </w:t>
      </w:r>
      <w:r>
        <w:rPr>
          <w:sz w:val="28"/>
        </w:rPr>
        <w:t>“Ý kiến” đã đề ra 20 nhiệm vụ trọng điểm trên 05 lĩnh vực, cụ thể gồm: </w:t>
      </w:r>
      <w:r>
        <w:rPr>
          <w:i/>
          <w:sz w:val="28"/>
        </w:rPr>
        <w:t>(i) </w:t>
      </w:r>
      <w:r>
        <w:rPr>
          <w:sz w:val="28"/>
        </w:rPr>
        <w:t>Thúc đẩy mở cửa thể chế cho thương mại dịch vụ, xây dựng và   kiện toàn chế độ quản lý danh mục hạn chế thương mại dịch vụ xuyên biên giới; </w:t>
      </w:r>
      <w:r>
        <w:rPr>
          <w:i/>
          <w:sz w:val="28"/>
        </w:rPr>
        <w:t>(ii) </w:t>
      </w:r>
      <w:r>
        <w:rPr>
          <w:sz w:val="28"/>
        </w:rPr>
        <w:t>Thúc đẩy lưu thông xuyên biên giới hiệu quả, tiện lợi và an toàn, tối ưu hóa quản   lý lưu thông vốn xuyên biên giới, thúc đẩy giao dịch và ứng dụng các thành quả khoa học công nghệ; </w:t>
      </w:r>
      <w:r>
        <w:rPr>
          <w:i/>
          <w:sz w:val="28"/>
        </w:rPr>
        <w:t>(iii) </w:t>
      </w:r>
      <w:r>
        <w:rPr>
          <w:sz w:val="28"/>
        </w:rPr>
        <w:t>Thúc đẩy phát triển sáng tạo trên các lĩnh vực trọng điểm, tăng cường năng lực dịch vụ vận tải quốc tế, nâng cao sức cạnh tranh quốc tế của ngành</w:t>
      </w:r>
      <w:r>
        <w:rPr>
          <w:spacing w:val="6"/>
          <w:sz w:val="28"/>
        </w:rPr>
        <w:t> </w:t>
      </w:r>
      <w:r>
        <w:rPr>
          <w:sz w:val="28"/>
        </w:rPr>
        <w:t>dịch</w:t>
      </w:r>
      <w:r>
        <w:rPr>
          <w:spacing w:val="7"/>
          <w:sz w:val="28"/>
        </w:rPr>
        <w:t> </w:t>
      </w:r>
      <w:r>
        <w:rPr>
          <w:sz w:val="28"/>
        </w:rPr>
        <w:t>vụ</w:t>
      </w:r>
      <w:r>
        <w:rPr>
          <w:spacing w:val="7"/>
          <w:sz w:val="28"/>
        </w:rPr>
        <w:t> </w:t>
      </w:r>
      <w:r>
        <w:rPr>
          <w:sz w:val="28"/>
        </w:rPr>
        <w:t>du</w:t>
      </w:r>
      <w:r>
        <w:rPr>
          <w:spacing w:val="7"/>
          <w:sz w:val="28"/>
        </w:rPr>
        <w:t> </w:t>
      </w:r>
      <w:r>
        <w:rPr>
          <w:sz w:val="28"/>
        </w:rPr>
        <w:t>lịch;</w:t>
      </w:r>
      <w:r>
        <w:rPr>
          <w:spacing w:val="7"/>
          <w:sz w:val="28"/>
        </w:rPr>
        <w:t> </w:t>
      </w:r>
      <w:r>
        <w:rPr>
          <w:i/>
          <w:sz w:val="28"/>
        </w:rPr>
        <w:t>(iv)</w:t>
      </w:r>
      <w:r>
        <w:rPr>
          <w:i/>
          <w:spacing w:val="9"/>
          <w:sz w:val="28"/>
        </w:rPr>
        <w:t> </w:t>
      </w:r>
      <w:r>
        <w:rPr>
          <w:sz w:val="28"/>
        </w:rPr>
        <w:t>Mở</w:t>
      </w:r>
      <w:r>
        <w:rPr>
          <w:spacing w:val="6"/>
          <w:sz w:val="28"/>
        </w:rPr>
        <w:t> </w:t>
      </w:r>
      <w:r>
        <w:rPr>
          <w:sz w:val="28"/>
        </w:rPr>
        <w:t>rộng</w:t>
      </w:r>
      <w:r>
        <w:rPr>
          <w:spacing w:val="7"/>
          <w:sz w:val="28"/>
        </w:rPr>
        <w:t> </w:t>
      </w:r>
      <w:r>
        <w:rPr>
          <w:sz w:val="28"/>
        </w:rPr>
        <w:t>bố</w:t>
      </w:r>
      <w:r>
        <w:rPr>
          <w:spacing w:val="7"/>
          <w:sz w:val="28"/>
        </w:rPr>
        <w:t> </w:t>
      </w:r>
      <w:r>
        <w:rPr>
          <w:sz w:val="28"/>
        </w:rPr>
        <w:t>cục</w:t>
      </w:r>
      <w:r>
        <w:rPr>
          <w:spacing w:val="8"/>
          <w:sz w:val="28"/>
        </w:rPr>
        <w:t> </w:t>
      </w:r>
      <w:r>
        <w:rPr>
          <w:sz w:val="28"/>
        </w:rPr>
        <w:t>thị</w:t>
      </w:r>
      <w:r>
        <w:rPr>
          <w:spacing w:val="6"/>
          <w:sz w:val="28"/>
        </w:rPr>
        <w:t> </w:t>
      </w:r>
      <w:r>
        <w:rPr>
          <w:sz w:val="28"/>
        </w:rPr>
        <w:t>trường</w:t>
      </w:r>
      <w:r>
        <w:rPr>
          <w:spacing w:val="7"/>
          <w:sz w:val="28"/>
        </w:rPr>
        <w:t> </w:t>
      </w:r>
      <w:r>
        <w:rPr>
          <w:sz w:val="28"/>
        </w:rPr>
        <w:t>quốc</w:t>
      </w:r>
      <w:r>
        <w:rPr>
          <w:spacing w:val="5"/>
          <w:sz w:val="28"/>
        </w:rPr>
        <w:t> </w:t>
      </w:r>
      <w:r>
        <w:rPr>
          <w:sz w:val="28"/>
        </w:rPr>
        <w:t>tế,</w:t>
      </w:r>
      <w:r>
        <w:rPr>
          <w:spacing w:val="5"/>
          <w:sz w:val="28"/>
        </w:rPr>
        <w:t> </w:t>
      </w:r>
      <w:r>
        <w:rPr>
          <w:sz w:val="28"/>
        </w:rPr>
        <w:t>đi</w:t>
      </w:r>
      <w:r>
        <w:rPr>
          <w:spacing w:val="6"/>
          <w:sz w:val="28"/>
        </w:rPr>
        <w:t> </w:t>
      </w:r>
      <w:r>
        <w:rPr>
          <w:sz w:val="28"/>
        </w:rPr>
        <w:t>sâu</w:t>
      </w:r>
      <w:r>
        <w:rPr>
          <w:spacing w:val="7"/>
          <w:sz w:val="28"/>
        </w:rPr>
        <w:t> </w:t>
      </w:r>
      <w:r>
        <w:rPr>
          <w:sz w:val="28"/>
        </w:rPr>
        <w:t>hợp</w:t>
      </w:r>
      <w:r>
        <w:rPr>
          <w:spacing w:val="6"/>
          <w:sz w:val="28"/>
        </w:rPr>
        <w:t> </w:t>
      </w:r>
      <w:r>
        <w:rPr>
          <w:sz w:val="28"/>
        </w:rPr>
        <w:t>tác</w:t>
      </w:r>
      <w:r>
        <w:rPr>
          <w:spacing w:val="6"/>
          <w:sz w:val="28"/>
        </w:rPr>
        <w:t> </w:t>
      </w:r>
      <w:r>
        <w:rPr>
          <w:sz w:val="28"/>
        </w:rPr>
        <w:t>quốc</w:t>
      </w:r>
    </w:p>
    <w:p>
      <w:pPr>
        <w:pStyle w:val="BodyText"/>
        <w:spacing w:before="7"/>
        <w:ind w:left="0" w:firstLine="0"/>
        <w:jc w:val="left"/>
        <w:rPr>
          <w:sz w:val="15"/>
        </w:rPr>
      </w:pPr>
      <w:r>
        <w:rPr/>
        <w:pict>
          <v:shape style="position:absolute;margin-left:70.944pt;margin-top:11.33604pt;width:144.050pt;height:.1pt;mso-position-horizontal-relative:page;mso-position-vertical-relative:paragraph;z-index:-251656192;mso-wrap-distance-left:0;mso-wrap-distance-right:0" coordorigin="1419,227" coordsize="2881,0" path="m1419,227l4299,227e" filled="false" stroked="true" strokeweight=".72003pt" strokecolor="#000000">
            <v:path arrowok="t"/>
            <v:stroke dashstyle="solid"/>
            <w10:wrap type="topAndBottom"/>
          </v:shape>
        </w:pict>
      </w:r>
    </w:p>
    <w:p>
      <w:pPr>
        <w:spacing w:before="71"/>
        <w:ind w:left="118" w:right="340" w:firstLine="0"/>
        <w:jc w:val="left"/>
        <w:rPr>
          <w:sz w:val="20"/>
        </w:rPr>
      </w:pPr>
      <w:bookmarkStart w:name="_bookmark2" w:id="3"/>
      <w:bookmarkEnd w:id="3"/>
      <w:r>
        <w:rPr/>
      </w:r>
      <w:r>
        <w:rPr>
          <w:sz w:val="20"/>
          <w:vertAlign w:val="superscript"/>
        </w:rPr>
        <w:t>3</w:t>
      </w:r>
      <w:r>
        <w:rPr>
          <w:sz w:val="20"/>
          <w:vertAlign w:val="baseline"/>
        </w:rPr>
        <w:t> Gồm 08 thành phố là Bắc Kinh, Thiên Tân, Thượng Hải, Nam Kinh, Tô Châu, Phúc Châu, Quảng Châu, Thâm Quyến và tại tỉnh Hải Nam.</w:t>
      </w:r>
    </w:p>
    <w:p>
      <w:pPr>
        <w:spacing w:after="0"/>
        <w:jc w:val="left"/>
        <w:rPr>
          <w:sz w:val="20"/>
        </w:rPr>
        <w:sectPr>
          <w:pgSz w:w="11910" w:h="16840"/>
          <w:pgMar w:header="0" w:footer="944" w:top="1060" w:bottom="1140" w:left="1300" w:right="780"/>
        </w:sectPr>
      </w:pPr>
    </w:p>
    <w:p>
      <w:pPr>
        <w:pStyle w:val="BodyText"/>
        <w:spacing w:before="59"/>
        <w:ind w:right="347" w:firstLine="0"/>
      </w:pPr>
      <w:r>
        <w:rPr/>
        <w:t>tế về thương mại dịch vụ, xây dựng và kiện toàn hệ thống thúc đẩy thương mại dịch vụ; </w:t>
      </w:r>
      <w:r>
        <w:rPr>
          <w:i/>
        </w:rPr>
        <w:t>(v) </w:t>
      </w:r>
      <w:r>
        <w:rPr/>
        <w:t>Hoàn thiện hệ thống hỗ trợ, đổi mới các biện pháp chính sách hỗ trợ, nâng cao trình độ thống kê đo lường thương mại dịch vụ, tăng cường hợp tác khu vực về thương mại dịch</w:t>
      </w:r>
      <w:r>
        <w:rPr>
          <w:spacing w:val="-1"/>
        </w:rPr>
        <w:t> </w:t>
      </w:r>
      <w:r>
        <w:rPr/>
        <w:t>vụ.</w:t>
      </w:r>
    </w:p>
    <w:p>
      <w:pPr>
        <w:pStyle w:val="ListParagraph"/>
        <w:numPr>
          <w:ilvl w:val="0"/>
          <w:numId w:val="4"/>
        </w:numPr>
        <w:tabs>
          <w:tab w:pos="978" w:val="left" w:leader="none"/>
        </w:tabs>
        <w:spacing w:line="240" w:lineRule="auto" w:before="121" w:after="0"/>
        <w:ind w:left="118" w:right="341" w:firstLine="566"/>
        <w:jc w:val="both"/>
        <w:rPr>
          <w:sz w:val="28"/>
        </w:rPr>
      </w:pPr>
      <w:r>
        <w:rPr>
          <w:b/>
          <w:spacing w:val="-5"/>
          <w:sz w:val="28"/>
        </w:rPr>
        <w:t>Mười </w:t>
      </w:r>
      <w:r>
        <w:rPr>
          <w:b/>
          <w:spacing w:val="-3"/>
          <w:sz w:val="28"/>
        </w:rPr>
        <w:t>một cơ </w:t>
      </w:r>
      <w:r>
        <w:rPr>
          <w:b/>
          <w:spacing w:val="-4"/>
          <w:sz w:val="28"/>
        </w:rPr>
        <w:t>quan </w:t>
      </w:r>
      <w:r>
        <w:rPr>
          <w:b/>
          <w:spacing w:val="-3"/>
          <w:sz w:val="28"/>
        </w:rPr>
        <w:t>của </w:t>
      </w:r>
      <w:r>
        <w:rPr>
          <w:b/>
          <w:spacing w:val="-5"/>
          <w:sz w:val="28"/>
        </w:rPr>
        <w:t>Trung </w:t>
      </w:r>
      <w:r>
        <w:rPr>
          <w:b/>
          <w:spacing w:val="-4"/>
          <w:sz w:val="28"/>
        </w:rPr>
        <w:t>Quốc </w:t>
      </w:r>
      <w:r>
        <w:rPr>
          <w:b/>
          <w:spacing w:val="-3"/>
          <w:sz w:val="28"/>
        </w:rPr>
        <w:t>gồm Bộ </w:t>
      </w:r>
      <w:r>
        <w:rPr>
          <w:b/>
          <w:spacing w:val="-4"/>
          <w:sz w:val="28"/>
        </w:rPr>
        <w:t>Công nghiệp </w:t>
      </w:r>
      <w:r>
        <w:rPr>
          <w:b/>
          <w:sz w:val="28"/>
        </w:rPr>
        <w:t>và </w:t>
      </w:r>
      <w:r>
        <w:rPr>
          <w:b/>
          <w:spacing w:val="-5"/>
          <w:sz w:val="28"/>
        </w:rPr>
        <w:t>Thông </w:t>
      </w:r>
      <w:r>
        <w:rPr>
          <w:b/>
          <w:spacing w:val="-3"/>
          <w:sz w:val="28"/>
        </w:rPr>
        <w:t>tin </w:t>
      </w:r>
      <w:r>
        <w:rPr>
          <w:b/>
          <w:spacing w:val="-4"/>
          <w:sz w:val="28"/>
        </w:rPr>
        <w:t>hóa, </w:t>
      </w:r>
      <w:r>
        <w:rPr>
          <w:b/>
          <w:spacing w:val="-3"/>
          <w:sz w:val="28"/>
        </w:rPr>
        <w:t>Văn </w:t>
      </w:r>
      <w:r>
        <w:rPr>
          <w:b/>
          <w:spacing w:val="-5"/>
          <w:sz w:val="28"/>
        </w:rPr>
        <w:t>phòng </w:t>
      </w:r>
      <w:r>
        <w:rPr>
          <w:b/>
          <w:sz w:val="28"/>
        </w:rPr>
        <w:t>Ủy </w:t>
      </w:r>
      <w:r>
        <w:rPr>
          <w:b/>
          <w:spacing w:val="-4"/>
          <w:sz w:val="28"/>
        </w:rPr>
        <w:t>ban </w:t>
      </w:r>
      <w:r>
        <w:rPr>
          <w:b/>
          <w:sz w:val="28"/>
        </w:rPr>
        <w:t>An </w:t>
      </w:r>
      <w:r>
        <w:rPr>
          <w:b/>
          <w:spacing w:val="-4"/>
          <w:sz w:val="28"/>
        </w:rPr>
        <w:t>ninh mạng </w:t>
      </w:r>
      <w:r>
        <w:rPr>
          <w:b/>
          <w:sz w:val="28"/>
        </w:rPr>
        <w:t>và </w:t>
      </w:r>
      <w:r>
        <w:rPr>
          <w:b/>
          <w:spacing w:val="-5"/>
          <w:sz w:val="28"/>
        </w:rPr>
        <w:t>Thông </w:t>
      </w:r>
      <w:r>
        <w:rPr>
          <w:b/>
          <w:spacing w:val="-3"/>
          <w:sz w:val="28"/>
        </w:rPr>
        <w:t>tin </w:t>
      </w:r>
      <w:r>
        <w:rPr>
          <w:b/>
          <w:spacing w:val="-4"/>
          <w:sz w:val="28"/>
        </w:rPr>
        <w:t>hóa ngày 4/9/2024 </w:t>
      </w:r>
      <w:r>
        <w:rPr>
          <w:b/>
          <w:spacing w:val="-3"/>
          <w:sz w:val="28"/>
        </w:rPr>
        <w:t>đã </w:t>
      </w:r>
      <w:r>
        <w:rPr>
          <w:b/>
          <w:spacing w:val="-5"/>
          <w:sz w:val="28"/>
        </w:rPr>
        <w:t>cùng </w:t>
      </w:r>
      <w:r>
        <w:rPr>
          <w:b/>
          <w:spacing w:val="-4"/>
          <w:sz w:val="28"/>
        </w:rPr>
        <w:t>ban hành </w:t>
      </w:r>
      <w:r>
        <w:rPr>
          <w:b/>
          <w:spacing w:val="-3"/>
          <w:sz w:val="28"/>
        </w:rPr>
        <w:t>văn bản </w:t>
      </w:r>
      <w:r>
        <w:rPr>
          <w:b/>
          <w:spacing w:val="-4"/>
          <w:sz w:val="28"/>
        </w:rPr>
        <w:t>thúc </w:t>
      </w:r>
      <w:r>
        <w:rPr>
          <w:b/>
          <w:spacing w:val="-3"/>
          <w:sz w:val="28"/>
        </w:rPr>
        <w:t>đẩy </w:t>
      </w:r>
      <w:r>
        <w:rPr>
          <w:b/>
          <w:sz w:val="28"/>
        </w:rPr>
        <w:t>sự </w:t>
      </w:r>
      <w:r>
        <w:rPr>
          <w:b/>
          <w:spacing w:val="-4"/>
          <w:sz w:val="28"/>
        </w:rPr>
        <w:t>phát triển đồng </w:t>
      </w:r>
      <w:r>
        <w:rPr>
          <w:b/>
          <w:spacing w:val="-3"/>
          <w:sz w:val="28"/>
        </w:rPr>
        <w:t>bộ hạ </w:t>
      </w:r>
      <w:r>
        <w:rPr>
          <w:b/>
          <w:spacing w:val="-4"/>
          <w:sz w:val="28"/>
        </w:rPr>
        <w:t>tầng viễn </w:t>
      </w:r>
      <w:r>
        <w:rPr>
          <w:b/>
          <w:spacing w:val="-5"/>
          <w:sz w:val="28"/>
        </w:rPr>
        <w:t>thông </w:t>
      </w:r>
      <w:r>
        <w:rPr>
          <w:b/>
          <w:spacing w:val="-4"/>
          <w:sz w:val="28"/>
        </w:rPr>
        <w:t>kiểu mới</w:t>
      </w:r>
      <w:r>
        <w:rPr>
          <w:spacing w:val="-4"/>
          <w:sz w:val="28"/>
        </w:rPr>
        <w:t>. Theo </w:t>
      </w:r>
      <w:r>
        <w:rPr>
          <w:spacing w:val="-3"/>
          <w:sz w:val="28"/>
        </w:rPr>
        <w:t>đó, văn bản </w:t>
      </w:r>
      <w:r>
        <w:rPr>
          <w:spacing w:val="-4"/>
          <w:sz w:val="28"/>
        </w:rPr>
        <w:t>trên đưa </w:t>
      </w:r>
      <w:r>
        <w:rPr>
          <w:sz w:val="28"/>
        </w:rPr>
        <w:t>ra </w:t>
      </w:r>
      <w:r>
        <w:rPr>
          <w:spacing w:val="-4"/>
          <w:sz w:val="28"/>
        </w:rPr>
        <w:t>những </w:t>
      </w:r>
      <w:r>
        <w:rPr>
          <w:spacing w:val="-3"/>
          <w:sz w:val="28"/>
        </w:rPr>
        <w:t>biện pháp cụ thể </w:t>
      </w:r>
      <w:r>
        <w:rPr>
          <w:sz w:val="28"/>
        </w:rPr>
        <w:t>về bố </w:t>
      </w:r>
      <w:r>
        <w:rPr>
          <w:spacing w:val="-3"/>
          <w:sz w:val="28"/>
        </w:rPr>
        <w:t>cục quy </w:t>
      </w:r>
      <w:r>
        <w:rPr>
          <w:spacing w:val="-4"/>
          <w:sz w:val="28"/>
        </w:rPr>
        <w:t>hoạch </w:t>
      </w:r>
      <w:r>
        <w:rPr>
          <w:spacing w:val="-3"/>
          <w:sz w:val="28"/>
        </w:rPr>
        <w:t>tổng thể </w:t>
      </w:r>
      <w:r>
        <w:rPr>
          <w:spacing w:val="-4"/>
          <w:sz w:val="28"/>
        </w:rPr>
        <w:t>toàn Trung Quốc, </w:t>
      </w:r>
      <w:r>
        <w:rPr>
          <w:spacing w:val="-3"/>
          <w:sz w:val="28"/>
        </w:rPr>
        <w:t>điều phối </w:t>
      </w:r>
      <w:r>
        <w:rPr>
          <w:spacing w:val="-4"/>
          <w:sz w:val="28"/>
        </w:rPr>
        <w:t>xuyên vùng miền, điều </w:t>
      </w:r>
      <w:r>
        <w:rPr>
          <w:spacing w:val="-3"/>
          <w:sz w:val="28"/>
        </w:rPr>
        <w:t>phối </w:t>
      </w:r>
      <w:r>
        <w:rPr>
          <w:spacing w:val="-4"/>
          <w:sz w:val="28"/>
        </w:rPr>
        <w:t>giữa </w:t>
      </w:r>
      <w:r>
        <w:rPr>
          <w:spacing w:val="-3"/>
          <w:sz w:val="28"/>
        </w:rPr>
        <w:t>phát </w:t>
      </w:r>
      <w:r>
        <w:rPr>
          <w:spacing w:val="-4"/>
          <w:sz w:val="28"/>
        </w:rPr>
        <w:t>triển </w:t>
      </w:r>
      <w:r>
        <w:rPr>
          <w:sz w:val="28"/>
        </w:rPr>
        <w:t>và </w:t>
      </w:r>
      <w:r>
        <w:rPr>
          <w:spacing w:val="-4"/>
          <w:sz w:val="28"/>
        </w:rPr>
        <w:t>xanh hóa,</w:t>
      </w:r>
      <w:r>
        <w:rPr>
          <w:spacing w:val="62"/>
          <w:sz w:val="28"/>
        </w:rPr>
        <w:t> </w:t>
      </w:r>
      <w:r>
        <w:rPr>
          <w:spacing w:val="-4"/>
          <w:sz w:val="28"/>
        </w:rPr>
        <w:t>điều </w:t>
      </w:r>
      <w:r>
        <w:rPr>
          <w:spacing w:val="-3"/>
          <w:sz w:val="28"/>
        </w:rPr>
        <w:t>phối </w:t>
      </w:r>
      <w:r>
        <w:rPr>
          <w:spacing w:val="-4"/>
          <w:sz w:val="28"/>
        </w:rPr>
        <w:t>giữa phát triển </w:t>
      </w:r>
      <w:r>
        <w:rPr>
          <w:sz w:val="28"/>
        </w:rPr>
        <w:t>và </w:t>
      </w:r>
      <w:r>
        <w:rPr>
          <w:spacing w:val="-3"/>
          <w:sz w:val="28"/>
        </w:rPr>
        <w:t>an </w:t>
      </w:r>
      <w:r>
        <w:rPr>
          <w:spacing w:val="-4"/>
          <w:sz w:val="28"/>
        </w:rPr>
        <w:t>ninh, </w:t>
      </w:r>
      <w:r>
        <w:rPr>
          <w:spacing w:val="-3"/>
          <w:sz w:val="28"/>
        </w:rPr>
        <w:t>điều phối </w:t>
      </w:r>
      <w:r>
        <w:rPr>
          <w:spacing w:val="-4"/>
          <w:sz w:val="28"/>
        </w:rPr>
        <w:t>chính sách </w:t>
      </w:r>
      <w:r>
        <w:rPr>
          <w:spacing w:val="-3"/>
          <w:sz w:val="28"/>
        </w:rPr>
        <w:t>giữa các </w:t>
      </w:r>
      <w:r>
        <w:rPr>
          <w:sz w:val="28"/>
        </w:rPr>
        <w:t>bộ </w:t>
      </w:r>
      <w:r>
        <w:rPr>
          <w:spacing w:val="-4"/>
          <w:sz w:val="28"/>
        </w:rPr>
        <w:t>ngành, </w:t>
      </w:r>
      <w:r>
        <w:rPr>
          <w:spacing w:val="-3"/>
          <w:sz w:val="28"/>
        </w:rPr>
        <w:t>qua </w:t>
      </w:r>
      <w:r>
        <w:rPr>
          <w:sz w:val="28"/>
        </w:rPr>
        <w:t>đó </w:t>
      </w:r>
      <w:r>
        <w:rPr>
          <w:spacing w:val="-3"/>
          <w:sz w:val="28"/>
        </w:rPr>
        <w:t>thúc</w:t>
      </w:r>
      <w:r>
        <w:rPr>
          <w:spacing w:val="-10"/>
          <w:sz w:val="28"/>
        </w:rPr>
        <w:t> </w:t>
      </w:r>
      <w:r>
        <w:rPr>
          <w:spacing w:val="-3"/>
          <w:sz w:val="28"/>
        </w:rPr>
        <w:t>đẩy</w:t>
      </w:r>
      <w:r>
        <w:rPr>
          <w:spacing w:val="-8"/>
          <w:sz w:val="28"/>
        </w:rPr>
        <w:t> </w:t>
      </w:r>
      <w:r>
        <w:rPr>
          <w:sz w:val="28"/>
        </w:rPr>
        <w:t>sự</w:t>
      </w:r>
      <w:r>
        <w:rPr>
          <w:spacing w:val="-10"/>
          <w:sz w:val="28"/>
        </w:rPr>
        <w:t> </w:t>
      </w:r>
      <w:r>
        <w:rPr>
          <w:spacing w:val="-4"/>
          <w:sz w:val="28"/>
        </w:rPr>
        <w:t>phát</w:t>
      </w:r>
      <w:r>
        <w:rPr>
          <w:spacing w:val="-8"/>
          <w:sz w:val="28"/>
        </w:rPr>
        <w:t> </w:t>
      </w:r>
      <w:r>
        <w:rPr>
          <w:spacing w:val="-4"/>
          <w:sz w:val="28"/>
        </w:rPr>
        <w:t>triển</w:t>
      </w:r>
      <w:r>
        <w:rPr>
          <w:spacing w:val="-9"/>
          <w:sz w:val="28"/>
        </w:rPr>
        <w:t> </w:t>
      </w:r>
      <w:r>
        <w:rPr>
          <w:spacing w:val="-3"/>
          <w:sz w:val="28"/>
        </w:rPr>
        <w:t>hài</w:t>
      </w:r>
      <w:r>
        <w:rPr>
          <w:spacing w:val="-8"/>
          <w:sz w:val="28"/>
        </w:rPr>
        <w:t> </w:t>
      </w:r>
      <w:r>
        <w:rPr>
          <w:spacing w:val="-3"/>
          <w:sz w:val="28"/>
        </w:rPr>
        <w:t>hòa</w:t>
      </w:r>
      <w:r>
        <w:rPr>
          <w:spacing w:val="-9"/>
          <w:sz w:val="28"/>
        </w:rPr>
        <w:t> </w:t>
      </w:r>
      <w:r>
        <w:rPr>
          <w:spacing w:val="-3"/>
          <w:sz w:val="28"/>
        </w:rPr>
        <w:t>của</w:t>
      </w:r>
      <w:r>
        <w:rPr>
          <w:spacing w:val="-9"/>
          <w:sz w:val="28"/>
        </w:rPr>
        <w:t> </w:t>
      </w:r>
      <w:r>
        <w:rPr>
          <w:spacing w:val="-4"/>
          <w:sz w:val="28"/>
        </w:rPr>
        <w:t>các</w:t>
      </w:r>
      <w:r>
        <w:rPr>
          <w:spacing w:val="-10"/>
          <w:sz w:val="28"/>
        </w:rPr>
        <w:t> </w:t>
      </w:r>
      <w:r>
        <w:rPr>
          <w:sz w:val="28"/>
        </w:rPr>
        <w:t>hạ</w:t>
      </w:r>
      <w:r>
        <w:rPr>
          <w:spacing w:val="-7"/>
          <w:sz w:val="28"/>
        </w:rPr>
        <w:t> </w:t>
      </w:r>
      <w:r>
        <w:rPr>
          <w:spacing w:val="-4"/>
          <w:sz w:val="28"/>
        </w:rPr>
        <w:t>tầng</w:t>
      </w:r>
      <w:r>
        <w:rPr>
          <w:spacing w:val="-8"/>
          <w:sz w:val="28"/>
        </w:rPr>
        <w:t> </w:t>
      </w:r>
      <w:r>
        <w:rPr>
          <w:spacing w:val="-4"/>
          <w:sz w:val="28"/>
        </w:rPr>
        <w:t>viễn</w:t>
      </w:r>
      <w:r>
        <w:rPr>
          <w:spacing w:val="-8"/>
          <w:sz w:val="28"/>
        </w:rPr>
        <w:t> </w:t>
      </w:r>
      <w:r>
        <w:rPr>
          <w:spacing w:val="-4"/>
          <w:sz w:val="28"/>
        </w:rPr>
        <w:t>thông</w:t>
      </w:r>
      <w:r>
        <w:rPr>
          <w:spacing w:val="-9"/>
          <w:sz w:val="28"/>
        </w:rPr>
        <w:t> </w:t>
      </w:r>
      <w:r>
        <w:rPr>
          <w:spacing w:val="-4"/>
          <w:sz w:val="28"/>
        </w:rPr>
        <w:t>kiểu</w:t>
      </w:r>
      <w:r>
        <w:rPr>
          <w:spacing w:val="-8"/>
          <w:sz w:val="28"/>
        </w:rPr>
        <w:t> </w:t>
      </w:r>
      <w:r>
        <w:rPr>
          <w:spacing w:val="-4"/>
          <w:sz w:val="28"/>
        </w:rPr>
        <w:t>mới</w:t>
      </w:r>
      <w:hyperlink w:history="true" w:anchor="_bookmark3">
        <w:r>
          <w:rPr>
            <w:spacing w:val="-4"/>
            <w:sz w:val="28"/>
            <w:vertAlign w:val="superscript"/>
          </w:rPr>
          <w:t>4</w:t>
        </w:r>
      </w:hyperlink>
      <w:r>
        <w:rPr>
          <w:spacing w:val="-4"/>
          <w:sz w:val="28"/>
          <w:vertAlign w:val="baseline"/>
        </w:rPr>
        <w:t>.</w:t>
      </w:r>
    </w:p>
    <w:p>
      <w:pPr>
        <w:pStyle w:val="ListParagraph"/>
        <w:numPr>
          <w:ilvl w:val="0"/>
          <w:numId w:val="4"/>
        </w:numPr>
        <w:tabs>
          <w:tab w:pos="974" w:val="left" w:leader="none"/>
        </w:tabs>
        <w:spacing w:line="240" w:lineRule="auto" w:before="121" w:after="0"/>
        <w:ind w:left="118" w:right="276" w:firstLine="566"/>
        <w:jc w:val="both"/>
        <w:rPr>
          <w:sz w:val="28"/>
        </w:rPr>
      </w:pPr>
      <w:r>
        <w:rPr>
          <w:b/>
          <w:sz w:val="28"/>
        </w:rPr>
        <w:t>Các cơ quan của Trung Quốc gồm Ủy ban Phát triển và Cải cách quốc gia, Bộ Tài nguyên tự nhiên, Bộ </w:t>
      </w:r>
      <w:r>
        <w:rPr>
          <w:b/>
          <w:spacing w:val="-2"/>
          <w:sz w:val="28"/>
        </w:rPr>
        <w:t>Môi </w:t>
      </w:r>
      <w:r>
        <w:rPr>
          <w:b/>
          <w:sz w:val="28"/>
        </w:rPr>
        <w:t>trường sinh thái, Tổng cục Giám sát  quản lý tài chính Trung Quốc đã cùng ban hành “Thông báo về xây dựng cơ chế thúc đẩy bảo đảm nguồn vốn và tài nguyên cho đầu tư tư nhân”</w:t>
      </w:r>
      <w:r>
        <w:rPr>
          <w:sz w:val="28"/>
        </w:rPr>
        <w:t>, với nền tảng là dữ liệu thống kê, chủ thể chính là các dự án trọng điểm, trụ cột là các chính sách. Nội dung chủ yếu của Thông báo gồm: </w:t>
      </w:r>
      <w:r>
        <w:rPr>
          <w:i/>
          <w:sz w:val="28"/>
        </w:rPr>
        <w:t>(i) </w:t>
      </w:r>
      <w:r>
        <w:rPr>
          <w:sz w:val="28"/>
        </w:rPr>
        <w:t>Tăng cường phân tích thống kê,  tạo cơ sở cho việc xây dựng các chính sách, biện pháp hỗ trợ tương ứng chính xác và thực tế hơn; </w:t>
      </w:r>
      <w:r>
        <w:rPr>
          <w:i/>
          <w:sz w:val="28"/>
        </w:rPr>
        <w:t>(ii) </w:t>
      </w:r>
      <w:r>
        <w:rPr>
          <w:sz w:val="28"/>
        </w:rPr>
        <w:t>Xây dựng cơ chế xúc tiến thường xuyên cho các dự án ở các  lĩnh vực trọng điểm và tăng cường hỗ trợ đầu tư của Chính phủ; </w:t>
      </w:r>
      <w:r>
        <w:rPr>
          <w:i/>
          <w:sz w:val="28"/>
        </w:rPr>
        <w:t>(iii) </w:t>
      </w:r>
      <w:r>
        <w:rPr>
          <w:sz w:val="28"/>
        </w:rPr>
        <w:t>Làm tốt công tác đánh giá bảo đảm các nguồn tài nguyên, thúc đẩy đồng bộ giữa xây dựng đầu   tư và quản lý đánh giá tác động môi trường; </w:t>
      </w:r>
      <w:r>
        <w:rPr>
          <w:i/>
          <w:sz w:val="28"/>
        </w:rPr>
        <w:t>(iv) </w:t>
      </w:r>
      <w:r>
        <w:rPr>
          <w:sz w:val="28"/>
        </w:rPr>
        <w:t>Kiên trì định hướng thị trường hóa, định hướng đẩy mạnh hỗ trợ huy động vốn đối với các dự án đầu tư tư</w:t>
      </w:r>
      <w:r>
        <w:rPr>
          <w:spacing w:val="-17"/>
          <w:sz w:val="28"/>
        </w:rPr>
        <w:t> </w:t>
      </w:r>
      <w:r>
        <w:rPr>
          <w:sz w:val="28"/>
        </w:rPr>
        <w:t>nhân.</w:t>
      </w:r>
    </w:p>
    <w:p>
      <w:pPr>
        <w:pStyle w:val="ListParagraph"/>
        <w:numPr>
          <w:ilvl w:val="0"/>
          <w:numId w:val="4"/>
        </w:numPr>
        <w:tabs>
          <w:tab w:pos="969" w:val="left" w:leader="none"/>
        </w:tabs>
        <w:spacing w:line="240" w:lineRule="auto" w:before="121" w:after="0"/>
        <w:ind w:left="118" w:right="346" w:firstLine="566"/>
        <w:jc w:val="both"/>
        <w:rPr>
          <w:sz w:val="28"/>
        </w:rPr>
      </w:pPr>
      <w:r>
        <w:rPr>
          <w:b/>
          <w:sz w:val="28"/>
        </w:rPr>
        <w:t>Bộ Tài chính và Tổng cục thuế quốc gia Trung Quốc đã cùng ban hành “Thông báo về chính sách thuế trước bạ liên quan đến tái cơ cấu đơn vị sự nghiệp và doanh nghiệp”</w:t>
      </w:r>
      <w:r>
        <w:rPr>
          <w:sz w:val="28"/>
        </w:rPr>
        <w:t>, trong đó, nhấn mạnh mở rộng phạm vi áp dụng chính sách thu thuế, thống nhất đối tượng áp dụng chính sách thu thuế thống nhất, cụ thể hóa các trường hợp áp dụng chính sách thuế, tiếp tục khơi dậy động lực nội sinh và sức sống của các chủ thể kinh</w:t>
      </w:r>
      <w:r>
        <w:rPr>
          <w:spacing w:val="-4"/>
          <w:sz w:val="28"/>
        </w:rPr>
        <w:t> </w:t>
      </w:r>
      <w:r>
        <w:rPr>
          <w:sz w:val="28"/>
        </w:rPr>
        <w:t>doanh.</w:t>
      </w:r>
    </w:p>
    <w:p>
      <w:pPr>
        <w:pStyle w:val="ListParagraph"/>
        <w:numPr>
          <w:ilvl w:val="0"/>
          <w:numId w:val="4"/>
        </w:numPr>
        <w:tabs>
          <w:tab w:pos="983" w:val="left" w:leader="none"/>
        </w:tabs>
        <w:spacing w:line="240" w:lineRule="auto" w:before="120" w:after="0"/>
        <w:ind w:left="118" w:right="346" w:firstLine="566"/>
        <w:jc w:val="both"/>
        <w:rPr>
          <w:sz w:val="28"/>
        </w:rPr>
      </w:pPr>
      <w:r>
        <w:rPr>
          <w:b/>
          <w:sz w:val="28"/>
        </w:rPr>
        <w:t>Ủy ban Phát triển và Cải cách Quốc gia Trung Quốc công bố dự thảo quy định bảo vệ các cơ sở lưu trữ ngũ cốc, dầu mỏ và hậu cần nhằm bảo vệ an ninh lương thực. </w:t>
      </w:r>
      <w:r>
        <w:rPr>
          <w:sz w:val="28"/>
        </w:rPr>
        <w:t>Theo đó, dự thảo quy định nghiêm cấm việc chiếm giữ, làm hỏng, tháo dỡ hoặc di dời các cơ sở lưu trữ ngũ cốc, dầu mỏ và hậu cần. Bên cạnh đó, các đơn vị lưu trữ ngũ cốc và dầu mỏ phải báo cáo cơ sở lưu trữ cho cơ quan chức trách trong vòng 30 ngày làm việc sau khi thành lập hoặc bắt đầu hoạt động lưu trữ. Dự thảo quy định cũng yêu cầu đánh giá và bảo trì thường xuyên các cơ sở lưu trữ và hậu cần và phải lưu giữ các hồ sơ này; đồng thời nghiêm cấm các hoạt động đe dọa đến sự an toàn của các cơ sở lưu trữ ngũ cốc, dầu mỏ và hậu</w:t>
      </w:r>
      <w:r>
        <w:rPr>
          <w:spacing w:val="-20"/>
          <w:sz w:val="28"/>
        </w:rPr>
        <w:t> </w:t>
      </w:r>
      <w:r>
        <w:rPr>
          <w:sz w:val="28"/>
        </w:rPr>
        <w:t>cần.</w:t>
      </w: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6"/>
        <w:ind w:left="0" w:firstLine="0"/>
        <w:jc w:val="left"/>
        <w:rPr>
          <w:sz w:val="24"/>
        </w:rPr>
      </w:pPr>
    </w:p>
    <w:p>
      <w:pPr>
        <w:spacing w:before="99"/>
        <w:ind w:left="118" w:right="340" w:firstLine="0"/>
        <w:jc w:val="left"/>
        <w:rPr>
          <w:sz w:val="20"/>
        </w:rPr>
      </w:pPr>
      <w:bookmarkStart w:name="_bookmark3" w:id="4"/>
      <w:bookmarkEnd w:id="4"/>
      <w:r>
        <w:rPr/>
      </w:r>
      <w:r>
        <w:rPr>
          <w:sz w:val="20"/>
          <w:vertAlign w:val="superscript"/>
        </w:rPr>
        <w:t>4</w:t>
      </w:r>
      <w:r>
        <w:rPr>
          <w:sz w:val="20"/>
          <w:vertAlign w:val="baseline"/>
        </w:rPr>
        <w:t> Hạ tầng viễn thông kiểu chủ yếu bao gồm hạ tầng công nghệ mới như: mạng 5G, băng rộng cáp quang, trung tâm dữ liệu, trung tâm tính toán xử lý dữ liệu, hạ tầng trí tuệ nhân tạo (AI), hạ tầng chuỗi khối (Block Chain).</w:t>
      </w:r>
    </w:p>
    <w:p>
      <w:pPr>
        <w:spacing w:after="0"/>
        <w:jc w:val="left"/>
        <w:rPr>
          <w:sz w:val="20"/>
        </w:rPr>
        <w:sectPr>
          <w:footerReference w:type="default" r:id="rId6"/>
          <w:pgSz w:w="11910" w:h="16840"/>
          <w:pgMar w:footer="944" w:header="0" w:top="1060" w:bottom="1140" w:left="1300" w:right="780"/>
        </w:sectPr>
      </w:pPr>
    </w:p>
    <w:p>
      <w:pPr>
        <w:pStyle w:val="Heading1"/>
        <w:numPr>
          <w:ilvl w:val="0"/>
          <w:numId w:val="1"/>
        </w:numPr>
        <w:tabs>
          <w:tab w:pos="1153" w:val="left" w:leader="none"/>
        </w:tabs>
        <w:spacing w:line="240" w:lineRule="auto" w:before="59" w:after="0"/>
        <w:ind w:left="1152" w:right="0" w:hanging="468"/>
        <w:jc w:val="both"/>
      </w:pPr>
      <w:r>
        <w:rPr/>
        <w:t>Đánh giá sở tại về kinh tế Việt</w:t>
      </w:r>
      <w:r>
        <w:rPr>
          <w:spacing w:val="-11"/>
        </w:rPr>
        <w:t> </w:t>
      </w:r>
      <w:r>
        <w:rPr/>
        <w:t>Nam</w:t>
      </w:r>
    </w:p>
    <w:p>
      <w:pPr>
        <w:pStyle w:val="BodyText"/>
        <w:spacing w:before="123"/>
        <w:ind w:right="347"/>
      </w:pPr>
      <w:r>
        <w:rPr/>
        <w:t>Nhìn chung, các chuyên gia, học giả Trung Quốc</w:t>
      </w:r>
      <w:hyperlink w:history="true" w:anchor="_bookmark4">
        <w:r>
          <w:rPr>
            <w:vertAlign w:val="superscript"/>
          </w:rPr>
          <w:t>5</w:t>
        </w:r>
        <w:r>
          <w:rPr>
            <w:vertAlign w:val="baseline"/>
          </w:rPr>
          <w:t> </w:t>
        </w:r>
      </w:hyperlink>
      <w:r>
        <w:rPr>
          <w:vertAlign w:val="baseline"/>
        </w:rPr>
        <w:t>đưa ra nhiều đánh giá tích cực về kinh tế Việt Nam, bày tỏ tin tưởng kinh tế Việt Nam sẽ tiếp tục được cải thiện trong năm 2024 dù phải đối mặt với một số khó khăn và thách thức, cho rằng các biện pháp cải cách kinh tế được chính phủ Việt Nam áp dụng cùng với nhu cầu bên ngoài được cải thiện đã và đang tạo động lực cho tăng trưởng kinh tế, song Việt Nam cũng cần phải xử lý các rủi ro như thiên tai, bão lũ. Cụ thể như</w:t>
      </w:r>
      <w:r>
        <w:rPr>
          <w:spacing w:val="-24"/>
          <w:vertAlign w:val="baseline"/>
        </w:rPr>
        <w:t> </w:t>
      </w:r>
      <w:r>
        <w:rPr>
          <w:vertAlign w:val="baseline"/>
        </w:rPr>
        <w:t>sau:</w:t>
      </w:r>
    </w:p>
    <w:p>
      <w:pPr>
        <w:pStyle w:val="ListParagraph"/>
        <w:numPr>
          <w:ilvl w:val="0"/>
          <w:numId w:val="5"/>
        </w:numPr>
        <w:tabs>
          <w:tab w:pos="983" w:val="left" w:leader="none"/>
        </w:tabs>
        <w:spacing w:line="240" w:lineRule="auto" w:before="120" w:after="0"/>
        <w:ind w:left="118" w:right="347" w:firstLine="566"/>
        <w:jc w:val="both"/>
        <w:rPr>
          <w:sz w:val="28"/>
        </w:rPr>
      </w:pPr>
      <w:r>
        <w:rPr>
          <w:b/>
          <w:sz w:val="28"/>
        </w:rPr>
        <w:t>Về các chỉ số kinh tế: </w:t>
      </w:r>
      <w:r>
        <w:rPr>
          <w:sz w:val="28"/>
        </w:rPr>
        <w:t>Dư luận sở tại Trung Quốc trích dẫn báo cáo thống kê kinh tế quốc gia của Việt Nam trong quý II và nửa đầu năm 2024 cho thấy, kinh tế Việt Nam tăng trưởng 6,93% trong quý II, cao hơn 1,06 điểm phần trăm so với mức 5,87% của quý trước, từ đó đẩy tốc độ tăng trưởng kinh tế của Việt Nam lên 6,42% trong nửa đầu năm 2024, vượt kỳ vọng của thị trường. Trong đó, nông nghiệp tăng 3,38%, công nghiệp dịch vụ tăng 6,64%, công nghiệp xây dựng tăng 7,34% và công nghiệp chế tạo tăng 8,67%. Chỉ số quản trị mua hàng (PMI) trong tháng 8/2024 đạt 52,4 điểm, cho thấy hoạt động sản xuất vẫn đang mở rộng nhờ số lượng đơn đặt hàng mới tăng lên và áp lực chi phí giảm bớt, cho phép các nhà sản xuất tiếp tục tăng lượng mua hàng, thúc đẩy sự tăng trưởng của chỉ số PMI. Số lượng đơn đặt hàng xuất khẩu mới tăng tháng thứ năm liên tiếp, cho thấy nhu cầu quốc tế được cải thiện và các nhà sản xuất cũng tăng sản lượng tương ứng. Thị trường xuất khẩu của Việt Nam về cơ bản đã hồi phục và đạt mức tăng trưởng nhanh, đặc biệt là tại các thị trường Mỹ, Trung Quốc, EU, Hàn Quốc. Trong nửa đầu năm 2024, tổng kim ngạch xuất nhập khẩu hàng hóa của Việt Nam đạt gần 369,6 tỷ USD, tăng 16,03% so với cùng kỳ, đạt thặng dư thương mại 8,4 tỷ</w:t>
      </w:r>
      <w:r>
        <w:rPr>
          <w:spacing w:val="-21"/>
          <w:sz w:val="28"/>
        </w:rPr>
        <w:t> </w:t>
      </w:r>
      <w:r>
        <w:rPr>
          <w:sz w:val="28"/>
        </w:rPr>
        <w:t>USD.</w:t>
      </w:r>
    </w:p>
    <w:p>
      <w:pPr>
        <w:pStyle w:val="BodyText"/>
        <w:spacing w:before="120"/>
        <w:ind w:right="346"/>
      </w:pPr>
      <w:r>
        <w:rPr/>
        <w:t>Số liệu trên cho thấy nền kinh tế Việt Nam vẫn tiếp tục tăng trưởng và thị trường xuất khẩu chiếm vị trí quan trọng trên thị trường toàn cầu. Tuy nhiên, tỷ lệ thất nghiệp của Việt Nam tăng, tỷ lệ thất nghiệp trong thanh niên vẫn ở mức cao,  tỷ lệ thất nghiệp ở nông thôn cao hơn thành thị. Điều này cho thấy dù Việt Nam đang tăng trưởng kinh tế nhưng cũng đang phải đối mặt với áp lực lên thị trường việc làm.</w:t>
      </w:r>
    </w:p>
    <w:p>
      <w:pPr>
        <w:pStyle w:val="ListParagraph"/>
        <w:numPr>
          <w:ilvl w:val="0"/>
          <w:numId w:val="5"/>
        </w:numPr>
        <w:tabs>
          <w:tab w:pos="974" w:val="left" w:leader="none"/>
        </w:tabs>
        <w:spacing w:line="240" w:lineRule="auto" w:before="120" w:after="0"/>
        <w:ind w:left="118" w:right="346" w:firstLine="566"/>
        <w:jc w:val="both"/>
        <w:rPr>
          <w:sz w:val="28"/>
        </w:rPr>
      </w:pPr>
      <w:r>
        <w:rPr>
          <w:b/>
          <w:sz w:val="28"/>
        </w:rPr>
        <w:t>Về các vấn đề xã hội: </w:t>
      </w:r>
      <w:r>
        <w:rPr>
          <w:sz w:val="28"/>
        </w:rPr>
        <w:t>Chuyên gia Trung Quốc bình luận về việc Việt Nam tăng khoảng 6% mức lương tối thiểu kể từ ngày 1/7/2024, cho rằng sự điều chỉnh chính sách này chắc chắn mang lại lợi ích lớn cho người lao động Việt Nam. Theo dữ liệu chính thức, thu nhập bình quân đầu người hàng tháng của người dân Việt Nam trong nửa đầu năm 2024 đạt 5,3 triệu đồng, tăng 8,2%; thu nhập bình quân hàng tháng của người có việc làm năm 2023 đạt 8,49 triệu đồng. Theo đó, việc tăng lương tối thiểu sẽ có tác động kép tới nền kinh tế Việt Nam. Về mặt tích cực, tăng lương tối thiểu đồng nghĩa với tăng mức thu nhập của người lao động. Điều này sẽ giúp bảo vệ người lao động, cải thiện chất lượng cuộc sống cũng như phúc lợi xã hội, đặc biệt đối với nhóm thu nhập thấp. Về mặt tiêu cực, việc tăng lương tối</w:t>
      </w:r>
      <w:r>
        <w:rPr>
          <w:spacing w:val="32"/>
          <w:sz w:val="28"/>
        </w:rPr>
        <w:t> </w:t>
      </w:r>
      <w:r>
        <w:rPr>
          <w:sz w:val="28"/>
        </w:rPr>
        <w:t>thiểu</w:t>
      </w:r>
      <w:r>
        <w:rPr>
          <w:spacing w:val="32"/>
          <w:sz w:val="28"/>
        </w:rPr>
        <w:t> </w:t>
      </w:r>
      <w:r>
        <w:rPr>
          <w:sz w:val="28"/>
        </w:rPr>
        <w:t>cũng</w:t>
      </w:r>
      <w:r>
        <w:rPr>
          <w:spacing w:val="34"/>
          <w:sz w:val="28"/>
        </w:rPr>
        <w:t> </w:t>
      </w:r>
      <w:r>
        <w:rPr>
          <w:sz w:val="28"/>
        </w:rPr>
        <w:t>làm</w:t>
      </w:r>
      <w:r>
        <w:rPr>
          <w:spacing w:val="30"/>
          <w:sz w:val="28"/>
        </w:rPr>
        <w:t> </w:t>
      </w:r>
      <w:r>
        <w:rPr>
          <w:sz w:val="28"/>
        </w:rPr>
        <w:t>tăng</w:t>
      </w:r>
      <w:r>
        <w:rPr>
          <w:spacing w:val="30"/>
          <w:sz w:val="28"/>
        </w:rPr>
        <w:t> </w:t>
      </w:r>
      <w:r>
        <w:rPr>
          <w:sz w:val="28"/>
        </w:rPr>
        <w:t>chi</w:t>
      </w:r>
      <w:r>
        <w:rPr>
          <w:spacing w:val="30"/>
          <w:sz w:val="28"/>
        </w:rPr>
        <w:t> </w:t>
      </w:r>
      <w:r>
        <w:rPr>
          <w:sz w:val="28"/>
        </w:rPr>
        <w:t>phí</w:t>
      </w:r>
      <w:r>
        <w:rPr>
          <w:spacing w:val="30"/>
          <w:sz w:val="28"/>
        </w:rPr>
        <w:t> </w:t>
      </w:r>
      <w:r>
        <w:rPr>
          <w:sz w:val="28"/>
        </w:rPr>
        <w:t>hoạt</w:t>
      </w:r>
      <w:r>
        <w:rPr>
          <w:spacing w:val="30"/>
          <w:sz w:val="28"/>
        </w:rPr>
        <w:t> </w:t>
      </w:r>
      <w:r>
        <w:rPr>
          <w:sz w:val="28"/>
        </w:rPr>
        <w:t>động</w:t>
      </w:r>
      <w:r>
        <w:rPr>
          <w:spacing w:val="30"/>
          <w:sz w:val="28"/>
        </w:rPr>
        <w:t> </w:t>
      </w:r>
      <w:r>
        <w:rPr>
          <w:sz w:val="28"/>
        </w:rPr>
        <w:t>cho</w:t>
      </w:r>
      <w:r>
        <w:rPr>
          <w:spacing w:val="32"/>
          <w:sz w:val="28"/>
        </w:rPr>
        <w:t> </w:t>
      </w:r>
      <w:r>
        <w:rPr>
          <w:sz w:val="28"/>
        </w:rPr>
        <w:t>các</w:t>
      </w:r>
      <w:r>
        <w:rPr>
          <w:spacing w:val="29"/>
          <w:sz w:val="28"/>
        </w:rPr>
        <w:t> </w:t>
      </w:r>
      <w:r>
        <w:rPr>
          <w:sz w:val="28"/>
        </w:rPr>
        <w:t>công</w:t>
      </w:r>
      <w:r>
        <w:rPr>
          <w:spacing w:val="34"/>
          <w:sz w:val="28"/>
        </w:rPr>
        <w:t> </w:t>
      </w:r>
      <w:r>
        <w:rPr>
          <w:sz w:val="28"/>
        </w:rPr>
        <w:t>ty,</w:t>
      </w:r>
      <w:r>
        <w:rPr>
          <w:spacing w:val="31"/>
          <w:sz w:val="28"/>
        </w:rPr>
        <w:t> </w:t>
      </w:r>
      <w:r>
        <w:rPr>
          <w:sz w:val="28"/>
        </w:rPr>
        <w:t>làm</w:t>
      </w:r>
      <w:r>
        <w:rPr>
          <w:spacing w:val="31"/>
          <w:sz w:val="28"/>
        </w:rPr>
        <w:t> </w:t>
      </w:r>
      <w:r>
        <w:rPr>
          <w:sz w:val="28"/>
        </w:rPr>
        <w:t>giảm</w:t>
      </w:r>
      <w:r>
        <w:rPr>
          <w:spacing w:val="29"/>
          <w:sz w:val="28"/>
        </w:rPr>
        <w:t> </w:t>
      </w:r>
      <w:r>
        <w:rPr>
          <w:sz w:val="28"/>
        </w:rPr>
        <w:t>tỷ</w:t>
      </w:r>
      <w:r>
        <w:rPr>
          <w:spacing w:val="32"/>
          <w:sz w:val="28"/>
        </w:rPr>
        <w:t> </w:t>
      </w:r>
      <w:r>
        <w:rPr>
          <w:sz w:val="28"/>
        </w:rPr>
        <w:t>suất</w:t>
      </w:r>
      <w:r>
        <w:rPr>
          <w:spacing w:val="30"/>
          <w:sz w:val="28"/>
        </w:rPr>
        <w:t> </w:t>
      </w:r>
      <w:r>
        <w:rPr>
          <w:sz w:val="28"/>
        </w:rPr>
        <w:t>lợi</w:t>
      </w:r>
    </w:p>
    <w:p>
      <w:pPr>
        <w:pStyle w:val="BodyText"/>
        <w:spacing w:before="7"/>
        <w:ind w:left="0" w:firstLine="0"/>
        <w:jc w:val="left"/>
        <w:rPr>
          <w:sz w:val="15"/>
        </w:rPr>
      </w:pPr>
      <w:r>
        <w:rPr/>
        <w:pict>
          <v:shape style="position:absolute;margin-left:70.944pt;margin-top:11.354703pt;width:144.050pt;height:.1pt;mso-position-horizontal-relative:page;mso-position-vertical-relative:paragraph;z-index:-251655168;mso-wrap-distance-left:0;mso-wrap-distance-right:0" coordorigin="1419,227" coordsize="2881,0" path="m1419,227l4299,227e" filled="false" stroked="true" strokeweight=".71997pt" strokecolor="#000000">
            <v:path arrowok="t"/>
            <v:stroke dashstyle="solid"/>
            <w10:wrap type="topAndBottom"/>
          </v:shape>
        </w:pict>
      </w:r>
    </w:p>
    <w:p>
      <w:pPr>
        <w:spacing w:line="276" w:lineRule="auto" w:before="72"/>
        <w:ind w:left="118" w:right="0" w:firstLine="0"/>
        <w:jc w:val="left"/>
        <w:rPr>
          <w:sz w:val="22"/>
        </w:rPr>
      </w:pPr>
      <w:bookmarkStart w:name="_bookmark4" w:id="5"/>
      <w:bookmarkEnd w:id="5"/>
      <w:r>
        <w:rPr/>
      </w:r>
      <w:r>
        <w:rPr>
          <w:sz w:val="22"/>
          <w:vertAlign w:val="superscript"/>
        </w:rPr>
        <w:t>5</w:t>
      </w:r>
      <w:r>
        <w:rPr>
          <w:sz w:val="22"/>
          <w:vertAlign w:val="baseline"/>
        </w:rPr>
        <w:t> Nổi bật là Chu Gia Bình, Tổng Giám đốc Công ty Tư vấn Quản lý Doanh nghiệp Oriental Huace Thâm Quyến</w:t>
      </w:r>
    </w:p>
    <w:p>
      <w:pPr>
        <w:spacing w:after="0" w:line="276" w:lineRule="auto"/>
        <w:jc w:val="left"/>
        <w:rPr>
          <w:sz w:val="22"/>
        </w:rPr>
        <w:sectPr>
          <w:footerReference w:type="default" r:id="rId7"/>
          <w:pgSz w:w="11910" w:h="16840"/>
          <w:pgMar w:footer="1017" w:header="0" w:top="1060" w:bottom="1200" w:left="1300" w:right="780"/>
          <w:pgNumType w:start="8"/>
        </w:sectPr>
      </w:pPr>
    </w:p>
    <w:p>
      <w:pPr>
        <w:pStyle w:val="BodyText"/>
        <w:spacing w:before="59"/>
        <w:ind w:right="345" w:firstLine="0"/>
      </w:pPr>
      <w:r>
        <w:rPr/>
        <w:t>nhuận, có thể khiến một số công ty phải giảm số lượng nhân viên hoặc thậm chí cân nhắc chuyển sang các nước khác có chi phí lao động thấp hơn, từ đó làm trầm trọng thêm vấn đề thất nghiệp. Các chuyên gia Trung Quốc cũng cho biết, mặc dù việc tăng lương tối thiểu ở Việt Nam có thể gây ra một số khó khăn trong ngắn hạn nhưng về lâu dài, đây là bước quan trọng hướng tới xây dựng một xã hội công bằng và hài hòa</w:t>
      </w:r>
      <w:r>
        <w:rPr>
          <w:spacing w:val="-6"/>
        </w:rPr>
        <w:t> </w:t>
      </w:r>
      <w:r>
        <w:rPr/>
        <w:t>hơn.</w:t>
      </w:r>
    </w:p>
    <w:p>
      <w:pPr>
        <w:pStyle w:val="ListParagraph"/>
        <w:numPr>
          <w:ilvl w:val="0"/>
          <w:numId w:val="5"/>
        </w:numPr>
        <w:tabs>
          <w:tab w:pos="981" w:val="left" w:leader="none"/>
        </w:tabs>
        <w:spacing w:line="240" w:lineRule="auto" w:before="121" w:after="0"/>
        <w:ind w:left="118" w:right="347" w:firstLine="566"/>
        <w:jc w:val="both"/>
        <w:rPr>
          <w:sz w:val="28"/>
        </w:rPr>
      </w:pPr>
      <w:r>
        <w:rPr>
          <w:b/>
          <w:sz w:val="28"/>
        </w:rPr>
        <w:t>Về hiệu quả chính sách: </w:t>
      </w:r>
      <w:r>
        <w:rPr>
          <w:sz w:val="28"/>
        </w:rPr>
        <w:t>Giới quan sát của Trung Quốc cho rằng, sự phục hồi kinh tế Việt Nam được hưởng lợi từ một loạt biện pháp cải cách kinh tế hiệu quả được Chính phủ thực hiện như cải cách tiền lương, mở cửa thị trường và cải thiện môi trường kinh doanh để thu hút đầu tư nước ngoài. Những biện pháp này đã thúc đẩy sự tăng trưởng của các ngành công nghiệp lớn trong nước và tạo điều kiện thuận lợi cho tăng trưởng kinh</w:t>
      </w:r>
      <w:r>
        <w:rPr>
          <w:spacing w:val="-4"/>
          <w:sz w:val="28"/>
        </w:rPr>
        <w:t> </w:t>
      </w:r>
      <w:r>
        <w:rPr>
          <w:sz w:val="28"/>
        </w:rPr>
        <w:t>tế.</w:t>
      </w:r>
    </w:p>
    <w:p>
      <w:pPr>
        <w:pStyle w:val="ListParagraph"/>
        <w:numPr>
          <w:ilvl w:val="0"/>
          <w:numId w:val="5"/>
        </w:numPr>
        <w:tabs>
          <w:tab w:pos="986" w:val="left" w:leader="none"/>
        </w:tabs>
        <w:spacing w:line="240" w:lineRule="auto" w:before="120" w:after="0"/>
        <w:ind w:left="118" w:right="346" w:firstLine="566"/>
        <w:jc w:val="both"/>
        <w:rPr>
          <w:sz w:val="28"/>
        </w:rPr>
      </w:pPr>
      <w:r>
        <w:rPr>
          <w:b/>
          <w:sz w:val="28"/>
        </w:rPr>
        <w:t>Về triển vọng tăng trưởng: </w:t>
      </w:r>
      <w:r>
        <w:rPr>
          <w:sz w:val="28"/>
        </w:rPr>
        <w:t>Các chuyên gia Trung Quốc dẫn báo cáo của nhiều tổ chức quốc tế dự đoán Việt Nam sẽ đạt mức tăng trưởng cao trong năm 2024, trong đó: Quỹ Tiền tệ Quốc tế (IMF) dự đoán mức tăng trưởng 5,8%, Ngân hàng Thế giới (WB) dự đoán mức 5,5% và Ngân hàng Phát triển Châu Á (ADB) dự đoán mức 6%. Những dữ liệu này cho thấy nền kinh tế Việt Nam đã có dấu hiệu phục hồi trên diện rộng. Tuy nhiên, nền kinh tế Việt Nam cũng phải đối mặt với một số thách thức như bão lũ và thiên tai có thể tác động tiêu cực đến tăng trưởng kinh tế./.</w:t>
      </w:r>
    </w:p>
    <w:sectPr>
      <w:pgSz w:w="11910" w:h="16840"/>
      <w:pgMar w:header="0" w:footer="1017" w:top="1060" w:bottom="1200" w:left="13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99.109985pt;margin-top:779.842102pt;width:11.55pt;height:14.25pt;mso-position-horizontal-relative:page;mso-position-vertical-relative:page;z-index:-251823104" type="#_x0000_t202" filled="false" stroked="false">
          <v:textbox inset="0,0,0,0">
            <w:txbxContent>
              <w:p>
                <w:pPr>
                  <w:spacing w:before="11"/>
                  <w:ind w:left="60" w:right="0" w:firstLine="0"/>
                  <w:jc w:val="left"/>
                  <w:rPr>
                    <w:sz w:val="22"/>
                  </w:rPr>
                </w:pPr>
                <w:r>
                  <w:rPr/>
                  <w:fldChar w:fldCharType="begin"/>
                </w:r>
                <w:r>
                  <w:rPr>
                    <w:w w:val="100"/>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251822080" from="70.944pt,752.159973pt" to="214.964pt,752.159973pt" stroked="true" strokeweight=".72003pt" strokecolor="#000000">
          <v:stroke dashstyle="solid"/>
          <w10:wrap type="none"/>
        </v:line>
      </w:pict>
    </w:r>
    <w:r>
      <w:rPr/>
      <w:pict>
        <v:shape style="position:absolute;margin-left:301.109985pt;margin-top:779.842102pt;width:7.55pt;height:14.25pt;mso-position-horizontal-relative:page;mso-position-vertical-relative:page;z-index:-251821056" type="#_x0000_t202" filled="false" stroked="false">
          <v:textbox inset="0,0,0,0">
            <w:txbxContent>
              <w:p>
                <w:pPr>
                  <w:spacing w:before="11"/>
                  <w:ind w:left="20" w:right="0" w:firstLine="0"/>
                  <w:jc w:val="left"/>
                  <w:rPr>
                    <w:sz w:val="22"/>
                  </w:rPr>
                </w:pPr>
                <w:r>
                  <w:rPr>
                    <w:w w:val="100"/>
                    <w:sz w:val="22"/>
                  </w:rPr>
                  <w:t>7</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99.109985pt;margin-top:779.842102pt;width:11.55pt;height:14.25pt;mso-position-horizontal-relative:page;mso-position-vertical-relative:page;z-index:-251820032" type="#_x0000_t202" filled="false" stroked="false">
          <v:textbox inset="0,0,0,0">
            <w:txbxContent>
              <w:p>
                <w:pPr>
                  <w:spacing w:before="11"/>
                  <w:ind w:left="60" w:right="0" w:firstLine="0"/>
                  <w:jc w:val="left"/>
                  <w:rPr>
                    <w:sz w:val="22"/>
                  </w:rPr>
                </w:pPr>
                <w:r>
                  <w:rPr/>
                  <w:fldChar w:fldCharType="begin"/>
                </w:r>
                <w:r>
                  <w:rPr>
                    <w:w w:val="100"/>
                    <w:sz w:val="22"/>
                  </w:rPr>
                  <w:instrText> PAGE </w:instrText>
                </w:r>
                <w:r>
                  <w:rPr/>
                  <w:fldChar w:fldCharType="separate"/>
                </w:r>
                <w:r>
                  <w:rPr/>
                  <w:t>8</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18" w:hanging="298"/>
        <w:jc w:val="left"/>
      </w:pPr>
      <w:rPr>
        <w:rFonts w:hint="default" w:ascii="Times New Roman" w:hAnsi="Times New Roman" w:eastAsia="Times New Roman" w:cs="Times New Roman"/>
        <w:b/>
        <w:bCs/>
        <w:spacing w:val="0"/>
        <w:w w:val="100"/>
        <w:sz w:val="28"/>
        <w:szCs w:val="28"/>
        <w:lang w:val="vi" w:eastAsia="vi" w:bidi="vi"/>
      </w:rPr>
    </w:lvl>
    <w:lvl w:ilvl="1">
      <w:start w:val="0"/>
      <w:numFmt w:val="bullet"/>
      <w:lvlText w:val="•"/>
      <w:lvlJc w:val="left"/>
      <w:pPr>
        <w:ind w:left="1090" w:hanging="298"/>
      </w:pPr>
      <w:rPr>
        <w:rFonts w:hint="default"/>
        <w:lang w:val="vi" w:eastAsia="vi" w:bidi="vi"/>
      </w:rPr>
    </w:lvl>
    <w:lvl w:ilvl="2">
      <w:start w:val="0"/>
      <w:numFmt w:val="bullet"/>
      <w:lvlText w:val="•"/>
      <w:lvlJc w:val="left"/>
      <w:pPr>
        <w:ind w:left="2061" w:hanging="298"/>
      </w:pPr>
      <w:rPr>
        <w:rFonts w:hint="default"/>
        <w:lang w:val="vi" w:eastAsia="vi" w:bidi="vi"/>
      </w:rPr>
    </w:lvl>
    <w:lvl w:ilvl="3">
      <w:start w:val="0"/>
      <w:numFmt w:val="bullet"/>
      <w:lvlText w:val="•"/>
      <w:lvlJc w:val="left"/>
      <w:pPr>
        <w:ind w:left="3032" w:hanging="298"/>
      </w:pPr>
      <w:rPr>
        <w:rFonts w:hint="default"/>
        <w:lang w:val="vi" w:eastAsia="vi" w:bidi="vi"/>
      </w:rPr>
    </w:lvl>
    <w:lvl w:ilvl="4">
      <w:start w:val="0"/>
      <w:numFmt w:val="bullet"/>
      <w:lvlText w:val="•"/>
      <w:lvlJc w:val="left"/>
      <w:pPr>
        <w:ind w:left="4003" w:hanging="298"/>
      </w:pPr>
      <w:rPr>
        <w:rFonts w:hint="default"/>
        <w:lang w:val="vi" w:eastAsia="vi" w:bidi="vi"/>
      </w:rPr>
    </w:lvl>
    <w:lvl w:ilvl="5">
      <w:start w:val="0"/>
      <w:numFmt w:val="bullet"/>
      <w:lvlText w:val="•"/>
      <w:lvlJc w:val="left"/>
      <w:pPr>
        <w:ind w:left="4974" w:hanging="298"/>
      </w:pPr>
      <w:rPr>
        <w:rFonts w:hint="default"/>
        <w:lang w:val="vi" w:eastAsia="vi" w:bidi="vi"/>
      </w:rPr>
    </w:lvl>
    <w:lvl w:ilvl="6">
      <w:start w:val="0"/>
      <w:numFmt w:val="bullet"/>
      <w:lvlText w:val="•"/>
      <w:lvlJc w:val="left"/>
      <w:pPr>
        <w:ind w:left="5945" w:hanging="298"/>
      </w:pPr>
      <w:rPr>
        <w:rFonts w:hint="default"/>
        <w:lang w:val="vi" w:eastAsia="vi" w:bidi="vi"/>
      </w:rPr>
    </w:lvl>
    <w:lvl w:ilvl="7">
      <w:start w:val="0"/>
      <w:numFmt w:val="bullet"/>
      <w:lvlText w:val="•"/>
      <w:lvlJc w:val="left"/>
      <w:pPr>
        <w:ind w:left="6916" w:hanging="298"/>
      </w:pPr>
      <w:rPr>
        <w:rFonts w:hint="default"/>
        <w:lang w:val="vi" w:eastAsia="vi" w:bidi="vi"/>
      </w:rPr>
    </w:lvl>
    <w:lvl w:ilvl="8">
      <w:start w:val="0"/>
      <w:numFmt w:val="bullet"/>
      <w:lvlText w:val="•"/>
      <w:lvlJc w:val="left"/>
      <w:pPr>
        <w:ind w:left="7887" w:hanging="298"/>
      </w:pPr>
      <w:rPr>
        <w:rFonts w:hint="default"/>
        <w:lang w:val="vi" w:eastAsia="vi" w:bidi="vi"/>
      </w:rPr>
    </w:lvl>
  </w:abstractNum>
  <w:abstractNum w:abstractNumId="3">
    <w:multiLevelType w:val="hybridMultilevel"/>
    <w:lvl w:ilvl="0">
      <w:start w:val="1"/>
      <w:numFmt w:val="decimal"/>
      <w:lvlText w:val="%1."/>
      <w:lvlJc w:val="left"/>
      <w:pPr>
        <w:ind w:left="118" w:hanging="326"/>
        <w:jc w:val="left"/>
      </w:pPr>
      <w:rPr>
        <w:rFonts w:hint="default" w:ascii="Times New Roman" w:hAnsi="Times New Roman" w:eastAsia="Times New Roman" w:cs="Times New Roman"/>
        <w:b/>
        <w:bCs/>
        <w:w w:val="100"/>
        <w:sz w:val="28"/>
        <w:szCs w:val="28"/>
        <w:lang w:val="vi" w:eastAsia="vi" w:bidi="vi"/>
      </w:rPr>
    </w:lvl>
    <w:lvl w:ilvl="1">
      <w:start w:val="0"/>
      <w:numFmt w:val="bullet"/>
      <w:lvlText w:val="•"/>
      <w:lvlJc w:val="left"/>
      <w:pPr>
        <w:ind w:left="1090" w:hanging="326"/>
      </w:pPr>
      <w:rPr>
        <w:rFonts w:hint="default"/>
        <w:lang w:val="vi" w:eastAsia="vi" w:bidi="vi"/>
      </w:rPr>
    </w:lvl>
    <w:lvl w:ilvl="2">
      <w:start w:val="0"/>
      <w:numFmt w:val="bullet"/>
      <w:lvlText w:val="•"/>
      <w:lvlJc w:val="left"/>
      <w:pPr>
        <w:ind w:left="2061" w:hanging="326"/>
      </w:pPr>
      <w:rPr>
        <w:rFonts w:hint="default"/>
        <w:lang w:val="vi" w:eastAsia="vi" w:bidi="vi"/>
      </w:rPr>
    </w:lvl>
    <w:lvl w:ilvl="3">
      <w:start w:val="0"/>
      <w:numFmt w:val="bullet"/>
      <w:lvlText w:val="•"/>
      <w:lvlJc w:val="left"/>
      <w:pPr>
        <w:ind w:left="3032" w:hanging="326"/>
      </w:pPr>
      <w:rPr>
        <w:rFonts w:hint="default"/>
        <w:lang w:val="vi" w:eastAsia="vi" w:bidi="vi"/>
      </w:rPr>
    </w:lvl>
    <w:lvl w:ilvl="4">
      <w:start w:val="0"/>
      <w:numFmt w:val="bullet"/>
      <w:lvlText w:val="•"/>
      <w:lvlJc w:val="left"/>
      <w:pPr>
        <w:ind w:left="4003" w:hanging="326"/>
      </w:pPr>
      <w:rPr>
        <w:rFonts w:hint="default"/>
        <w:lang w:val="vi" w:eastAsia="vi" w:bidi="vi"/>
      </w:rPr>
    </w:lvl>
    <w:lvl w:ilvl="5">
      <w:start w:val="0"/>
      <w:numFmt w:val="bullet"/>
      <w:lvlText w:val="•"/>
      <w:lvlJc w:val="left"/>
      <w:pPr>
        <w:ind w:left="4974" w:hanging="326"/>
      </w:pPr>
      <w:rPr>
        <w:rFonts w:hint="default"/>
        <w:lang w:val="vi" w:eastAsia="vi" w:bidi="vi"/>
      </w:rPr>
    </w:lvl>
    <w:lvl w:ilvl="6">
      <w:start w:val="0"/>
      <w:numFmt w:val="bullet"/>
      <w:lvlText w:val="•"/>
      <w:lvlJc w:val="left"/>
      <w:pPr>
        <w:ind w:left="5945" w:hanging="326"/>
      </w:pPr>
      <w:rPr>
        <w:rFonts w:hint="default"/>
        <w:lang w:val="vi" w:eastAsia="vi" w:bidi="vi"/>
      </w:rPr>
    </w:lvl>
    <w:lvl w:ilvl="7">
      <w:start w:val="0"/>
      <w:numFmt w:val="bullet"/>
      <w:lvlText w:val="•"/>
      <w:lvlJc w:val="left"/>
      <w:pPr>
        <w:ind w:left="6916" w:hanging="326"/>
      </w:pPr>
      <w:rPr>
        <w:rFonts w:hint="default"/>
        <w:lang w:val="vi" w:eastAsia="vi" w:bidi="vi"/>
      </w:rPr>
    </w:lvl>
    <w:lvl w:ilvl="8">
      <w:start w:val="0"/>
      <w:numFmt w:val="bullet"/>
      <w:lvlText w:val="•"/>
      <w:lvlJc w:val="left"/>
      <w:pPr>
        <w:ind w:left="7887" w:hanging="326"/>
      </w:pPr>
      <w:rPr>
        <w:rFonts w:hint="default"/>
        <w:lang w:val="vi" w:eastAsia="vi" w:bidi="vi"/>
      </w:rPr>
    </w:lvl>
  </w:abstractNum>
  <w:abstractNum w:abstractNumId="2">
    <w:multiLevelType w:val="hybridMultilevel"/>
    <w:lvl w:ilvl="0">
      <w:start w:val="1"/>
      <w:numFmt w:val="lowerRoman"/>
      <w:lvlText w:val="(%1)"/>
      <w:lvlJc w:val="left"/>
      <w:pPr>
        <w:ind w:left="118" w:hanging="339"/>
        <w:jc w:val="left"/>
      </w:pPr>
      <w:rPr>
        <w:rFonts w:hint="default" w:ascii="Times New Roman" w:hAnsi="Times New Roman" w:eastAsia="Times New Roman" w:cs="Times New Roman"/>
        <w:b/>
        <w:bCs/>
        <w:w w:val="100"/>
        <w:sz w:val="28"/>
        <w:szCs w:val="28"/>
        <w:lang w:val="vi" w:eastAsia="vi" w:bidi="vi"/>
      </w:rPr>
    </w:lvl>
    <w:lvl w:ilvl="1">
      <w:start w:val="0"/>
      <w:numFmt w:val="bullet"/>
      <w:lvlText w:val="•"/>
      <w:lvlJc w:val="left"/>
      <w:pPr>
        <w:ind w:left="1090" w:hanging="339"/>
      </w:pPr>
      <w:rPr>
        <w:rFonts w:hint="default"/>
        <w:lang w:val="vi" w:eastAsia="vi" w:bidi="vi"/>
      </w:rPr>
    </w:lvl>
    <w:lvl w:ilvl="2">
      <w:start w:val="0"/>
      <w:numFmt w:val="bullet"/>
      <w:lvlText w:val="•"/>
      <w:lvlJc w:val="left"/>
      <w:pPr>
        <w:ind w:left="2061" w:hanging="339"/>
      </w:pPr>
      <w:rPr>
        <w:rFonts w:hint="default"/>
        <w:lang w:val="vi" w:eastAsia="vi" w:bidi="vi"/>
      </w:rPr>
    </w:lvl>
    <w:lvl w:ilvl="3">
      <w:start w:val="0"/>
      <w:numFmt w:val="bullet"/>
      <w:lvlText w:val="•"/>
      <w:lvlJc w:val="left"/>
      <w:pPr>
        <w:ind w:left="3032" w:hanging="339"/>
      </w:pPr>
      <w:rPr>
        <w:rFonts w:hint="default"/>
        <w:lang w:val="vi" w:eastAsia="vi" w:bidi="vi"/>
      </w:rPr>
    </w:lvl>
    <w:lvl w:ilvl="4">
      <w:start w:val="0"/>
      <w:numFmt w:val="bullet"/>
      <w:lvlText w:val="•"/>
      <w:lvlJc w:val="left"/>
      <w:pPr>
        <w:ind w:left="4003" w:hanging="339"/>
      </w:pPr>
      <w:rPr>
        <w:rFonts w:hint="default"/>
        <w:lang w:val="vi" w:eastAsia="vi" w:bidi="vi"/>
      </w:rPr>
    </w:lvl>
    <w:lvl w:ilvl="5">
      <w:start w:val="0"/>
      <w:numFmt w:val="bullet"/>
      <w:lvlText w:val="•"/>
      <w:lvlJc w:val="left"/>
      <w:pPr>
        <w:ind w:left="4974" w:hanging="339"/>
      </w:pPr>
      <w:rPr>
        <w:rFonts w:hint="default"/>
        <w:lang w:val="vi" w:eastAsia="vi" w:bidi="vi"/>
      </w:rPr>
    </w:lvl>
    <w:lvl w:ilvl="6">
      <w:start w:val="0"/>
      <w:numFmt w:val="bullet"/>
      <w:lvlText w:val="•"/>
      <w:lvlJc w:val="left"/>
      <w:pPr>
        <w:ind w:left="5945" w:hanging="339"/>
      </w:pPr>
      <w:rPr>
        <w:rFonts w:hint="default"/>
        <w:lang w:val="vi" w:eastAsia="vi" w:bidi="vi"/>
      </w:rPr>
    </w:lvl>
    <w:lvl w:ilvl="7">
      <w:start w:val="0"/>
      <w:numFmt w:val="bullet"/>
      <w:lvlText w:val="•"/>
      <w:lvlJc w:val="left"/>
      <w:pPr>
        <w:ind w:left="6916" w:hanging="339"/>
      </w:pPr>
      <w:rPr>
        <w:rFonts w:hint="default"/>
        <w:lang w:val="vi" w:eastAsia="vi" w:bidi="vi"/>
      </w:rPr>
    </w:lvl>
    <w:lvl w:ilvl="8">
      <w:start w:val="0"/>
      <w:numFmt w:val="bullet"/>
      <w:lvlText w:val="•"/>
      <w:lvlJc w:val="left"/>
      <w:pPr>
        <w:ind w:left="7887" w:hanging="339"/>
      </w:pPr>
      <w:rPr>
        <w:rFonts w:hint="default"/>
        <w:lang w:val="vi" w:eastAsia="vi" w:bidi="vi"/>
      </w:rPr>
    </w:lvl>
  </w:abstractNum>
  <w:abstractNum w:abstractNumId="1">
    <w:multiLevelType w:val="hybridMultilevel"/>
    <w:lvl w:ilvl="0">
      <w:start w:val="1"/>
      <w:numFmt w:val="decimal"/>
      <w:lvlText w:val="%1."/>
      <w:lvlJc w:val="left"/>
      <w:pPr>
        <w:ind w:left="118" w:hanging="302"/>
        <w:jc w:val="left"/>
      </w:pPr>
      <w:rPr>
        <w:rFonts w:hint="default" w:ascii="Times New Roman" w:hAnsi="Times New Roman" w:eastAsia="Times New Roman" w:cs="Times New Roman"/>
        <w:b/>
        <w:bCs/>
        <w:w w:val="100"/>
        <w:sz w:val="28"/>
        <w:szCs w:val="28"/>
        <w:lang w:val="vi" w:eastAsia="vi" w:bidi="vi"/>
      </w:rPr>
    </w:lvl>
    <w:lvl w:ilvl="1">
      <w:start w:val="0"/>
      <w:numFmt w:val="bullet"/>
      <w:lvlText w:val="•"/>
      <w:lvlJc w:val="left"/>
      <w:pPr>
        <w:ind w:left="1090" w:hanging="302"/>
      </w:pPr>
      <w:rPr>
        <w:rFonts w:hint="default"/>
        <w:lang w:val="vi" w:eastAsia="vi" w:bidi="vi"/>
      </w:rPr>
    </w:lvl>
    <w:lvl w:ilvl="2">
      <w:start w:val="0"/>
      <w:numFmt w:val="bullet"/>
      <w:lvlText w:val="•"/>
      <w:lvlJc w:val="left"/>
      <w:pPr>
        <w:ind w:left="2061" w:hanging="302"/>
      </w:pPr>
      <w:rPr>
        <w:rFonts w:hint="default"/>
        <w:lang w:val="vi" w:eastAsia="vi" w:bidi="vi"/>
      </w:rPr>
    </w:lvl>
    <w:lvl w:ilvl="3">
      <w:start w:val="0"/>
      <w:numFmt w:val="bullet"/>
      <w:lvlText w:val="•"/>
      <w:lvlJc w:val="left"/>
      <w:pPr>
        <w:ind w:left="3032" w:hanging="302"/>
      </w:pPr>
      <w:rPr>
        <w:rFonts w:hint="default"/>
        <w:lang w:val="vi" w:eastAsia="vi" w:bidi="vi"/>
      </w:rPr>
    </w:lvl>
    <w:lvl w:ilvl="4">
      <w:start w:val="0"/>
      <w:numFmt w:val="bullet"/>
      <w:lvlText w:val="•"/>
      <w:lvlJc w:val="left"/>
      <w:pPr>
        <w:ind w:left="4003" w:hanging="302"/>
      </w:pPr>
      <w:rPr>
        <w:rFonts w:hint="default"/>
        <w:lang w:val="vi" w:eastAsia="vi" w:bidi="vi"/>
      </w:rPr>
    </w:lvl>
    <w:lvl w:ilvl="5">
      <w:start w:val="0"/>
      <w:numFmt w:val="bullet"/>
      <w:lvlText w:val="•"/>
      <w:lvlJc w:val="left"/>
      <w:pPr>
        <w:ind w:left="4974" w:hanging="302"/>
      </w:pPr>
      <w:rPr>
        <w:rFonts w:hint="default"/>
        <w:lang w:val="vi" w:eastAsia="vi" w:bidi="vi"/>
      </w:rPr>
    </w:lvl>
    <w:lvl w:ilvl="6">
      <w:start w:val="0"/>
      <w:numFmt w:val="bullet"/>
      <w:lvlText w:val="•"/>
      <w:lvlJc w:val="left"/>
      <w:pPr>
        <w:ind w:left="5945" w:hanging="302"/>
      </w:pPr>
      <w:rPr>
        <w:rFonts w:hint="default"/>
        <w:lang w:val="vi" w:eastAsia="vi" w:bidi="vi"/>
      </w:rPr>
    </w:lvl>
    <w:lvl w:ilvl="7">
      <w:start w:val="0"/>
      <w:numFmt w:val="bullet"/>
      <w:lvlText w:val="•"/>
      <w:lvlJc w:val="left"/>
      <w:pPr>
        <w:ind w:left="6916" w:hanging="302"/>
      </w:pPr>
      <w:rPr>
        <w:rFonts w:hint="default"/>
        <w:lang w:val="vi" w:eastAsia="vi" w:bidi="vi"/>
      </w:rPr>
    </w:lvl>
    <w:lvl w:ilvl="8">
      <w:start w:val="0"/>
      <w:numFmt w:val="bullet"/>
      <w:lvlText w:val="•"/>
      <w:lvlJc w:val="left"/>
      <w:pPr>
        <w:ind w:left="7887" w:hanging="302"/>
      </w:pPr>
      <w:rPr>
        <w:rFonts w:hint="default"/>
        <w:lang w:val="vi" w:eastAsia="vi" w:bidi="vi"/>
      </w:rPr>
    </w:lvl>
  </w:abstractNum>
  <w:abstractNum w:abstractNumId="0">
    <w:multiLevelType w:val="hybridMultilevel"/>
    <w:lvl w:ilvl="0">
      <w:start w:val="1"/>
      <w:numFmt w:val="upperRoman"/>
      <w:lvlText w:val="%1."/>
      <w:lvlJc w:val="left"/>
      <w:pPr>
        <w:ind w:left="934" w:hanging="250"/>
        <w:jc w:val="left"/>
      </w:pPr>
      <w:rPr>
        <w:rFonts w:hint="default" w:ascii="Times New Roman" w:hAnsi="Times New Roman" w:eastAsia="Times New Roman" w:cs="Times New Roman"/>
        <w:b/>
        <w:bCs/>
        <w:w w:val="100"/>
        <w:sz w:val="28"/>
        <w:szCs w:val="28"/>
        <w:lang w:val="vi" w:eastAsia="vi" w:bidi="vi"/>
      </w:rPr>
    </w:lvl>
    <w:lvl w:ilvl="1">
      <w:start w:val="0"/>
      <w:numFmt w:val="bullet"/>
      <w:lvlText w:val="•"/>
      <w:lvlJc w:val="left"/>
      <w:pPr>
        <w:ind w:left="1828" w:hanging="250"/>
      </w:pPr>
      <w:rPr>
        <w:rFonts w:hint="default"/>
        <w:lang w:val="vi" w:eastAsia="vi" w:bidi="vi"/>
      </w:rPr>
    </w:lvl>
    <w:lvl w:ilvl="2">
      <w:start w:val="0"/>
      <w:numFmt w:val="bullet"/>
      <w:lvlText w:val="•"/>
      <w:lvlJc w:val="left"/>
      <w:pPr>
        <w:ind w:left="2717" w:hanging="250"/>
      </w:pPr>
      <w:rPr>
        <w:rFonts w:hint="default"/>
        <w:lang w:val="vi" w:eastAsia="vi" w:bidi="vi"/>
      </w:rPr>
    </w:lvl>
    <w:lvl w:ilvl="3">
      <w:start w:val="0"/>
      <w:numFmt w:val="bullet"/>
      <w:lvlText w:val="•"/>
      <w:lvlJc w:val="left"/>
      <w:pPr>
        <w:ind w:left="3606" w:hanging="250"/>
      </w:pPr>
      <w:rPr>
        <w:rFonts w:hint="default"/>
        <w:lang w:val="vi" w:eastAsia="vi" w:bidi="vi"/>
      </w:rPr>
    </w:lvl>
    <w:lvl w:ilvl="4">
      <w:start w:val="0"/>
      <w:numFmt w:val="bullet"/>
      <w:lvlText w:val="•"/>
      <w:lvlJc w:val="left"/>
      <w:pPr>
        <w:ind w:left="4495" w:hanging="250"/>
      </w:pPr>
      <w:rPr>
        <w:rFonts w:hint="default"/>
        <w:lang w:val="vi" w:eastAsia="vi" w:bidi="vi"/>
      </w:rPr>
    </w:lvl>
    <w:lvl w:ilvl="5">
      <w:start w:val="0"/>
      <w:numFmt w:val="bullet"/>
      <w:lvlText w:val="•"/>
      <w:lvlJc w:val="left"/>
      <w:pPr>
        <w:ind w:left="5384" w:hanging="250"/>
      </w:pPr>
      <w:rPr>
        <w:rFonts w:hint="default"/>
        <w:lang w:val="vi" w:eastAsia="vi" w:bidi="vi"/>
      </w:rPr>
    </w:lvl>
    <w:lvl w:ilvl="6">
      <w:start w:val="0"/>
      <w:numFmt w:val="bullet"/>
      <w:lvlText w:val="•"/>
      <w:lvlJc w:val="left"/>
      <w:pPr>
        <w:ind w:left="6273" w:hanging="250"/>
      </w:pPr>
      <w:rPr>
        <w:rFonts w:hint="default"/>
        <w:lang w:val="vi" w:eastAsia="vi" w:bidi="vi"/>
      </w:rPr>
    </w:lvl>
    <w:lvl w:ilvl="7">
      <w:start w:val="0"/>
      <w:numFmt w:val="bullet"/>
      <w:lvlText w:val="•"/>
      <w:lvlJc w:val="left"/>
      <w:pPr>
        <w:ind w:left="7162" w:hanging="250"/>
      </w:pPr>
      <w:rPr>
        <w:rFonts w:hint="default"/>
        <w:lang w:val="vi" w:eastAsia="vi" w:bidi="vi"/>
      </w:rPr>
    </w:lvl>
    <w:lvl w:ilvl="8">
      <w:start w:val="0"/>
      <w:numFmt w:val="bullet"/>
      <w:lvlText w:val="•"/>
      <w:lvlJc w:val="left"/>
      <w:pPr>
        <w:ind w:left="8051" w:hanging="250"/>
      </w:pPr>
      <w:rPr>
        <w:rFonts w:hint="default"/>
        <w:lang w:val="vi" w:eastAsia="vi" w:bidi="vi"/>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vi" w:bidi="vi"/>
    </w:rPr>
  </w:style>
  <w:style w:styleId="BodyText" w:type="paragraph">
    <w:name w:val="Body Text"/>
    <w:basedOn w:val="Normal"/>
    <w:uiPriority w:val="1"/>
    <w:qFormat/>
    <w:pPr>
      <w:ind w:left="118" w:firstLine="566"/>
      <w:jc w:val="both"/>
    </w:pPr>
    <w:rPr>
      <w:rFonts w:ascii="Times New Roman" w:hAnsi="Times New Roman" w:eastAsia="Times New Roman" w:cs="Times New Roman"/>
      <w:sz w:val="28"/>
      <w:szCs w:val="28"/>
      <w:lang w:val="vi" w:eastAsia="vi" w:bidi="vi"/>
    </w:rPr>
  </w:style>
  <w:style w:styleId="Heading1" w:type="paragraph">
    <w:name w:val="Heading 1"/>
    <w:basedOn w:val="Normal"/>
    <w:uiPriority w:val="1"/>
    <w:qFormat/>
    <w:pPr>
      <w:spacing w:before="59"/>
      <w:ind w:left="457"/>
      <w:jc w:val="center"/>
      <w:outlineLvl w:val="1"/>
    </w:pPr>
    <w:rPr>
      <w:rFonts w:ascii="Times New Roman" w:hAnsi="Times New Roman" w:eastAsia="Times New Roman" w:cs="Times New Roman"/>
      <w:b/>
      <w:bCs/>
      <w:sz w:val="28"/>
      <w:szCs w:val="28"/>
      <w:lang w:val="vi" w:eastAsia="vi" w:bidi="vi"/>
    </w:rPr>
  </w:style>
  <w:style w:styleId="ListParagraph" w:type="paragraph">
    <w:name w:val="List Paragraph"/>
    <w:basedOn w:val="Normal"/>
    <w:uiPriority w:val="1"/>
    <w:qFormat/>
    <w:pPr>
      <w:spacing w:before="120"/>
      <w:ind w:left="118" w:right="346" w:firstLine="566"/>
      <w:jc w:val="both"/>
    </w:pPr>
    <w:rPr>
      <w:rFonts w:ascii="Times New Roman" w:hAnsi="Times New Roman" w:eastAsia="Times New Roman" w:cs="Times New Roman"/>
      <w:lang w:val="vi" w:eastAsia="vi" w:bidi="vi"/>
    </w:rPr>
  </w:style>
  <w:style w:styleId="TableParagraph" w:type="paragraph">
    <w:name w:val="Table Paragraph"/>
    <w:basedOn w:val="Normal"/>
    <w:uiPriority w:val="1"/>
    <w:qFormat/>
    <w:pPr/>
    <w:rPr>
      <w:lang w:val="vi" w:eastAsia="vi" w:bidi="v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N-CT3</dc:creator>
  <dcterms:created xsi:type="dcterms:W3CDTF">2024-09-25T10:00:30Z</dcterms:created>
  <dcterms:modified xsi:type="dcterms:W3CDTF">2024-09-25T10:00:30Z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2024-09-23T00:00:00Z</vt:filetime>
  </property>
  <property fmtid="{D5CDD505-2E9C-101B-9397-08002B2CF9AE}" pid="3" name="Creator">
    <vt:lpwstr>Microsoft® Word LTSC</vt:lpwstr>
  </property>
  <property fmtid="{D5CDD505-2E9C-101B-9397-08002B2CF9AE}" pid="4" name="LastSaved">
    <vt:filetime>2024-09-25T00:00:00Z</vt:filetime>
  </property>
</Properties>
</file>